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shd w:val="clear" w:color="auto" w:fill="1F3864" w:themeFill="accent1" w:themeFillShade="80"/>
        <w:tblLook w:val="04A0" w:firstRow="1" w:lastRow="0" w:firstColumn="1" w:lastColumn="0" w:noHBand="0" w:noVBand="1"/>
      </w:tblPr>
      <w:tblGrid>
        <w:gridCol w:w="8828"/>
      </w:tblGrid>
      <w:tr w:rsidR="00F96002" w:rsidRPr="00DB14EB" w:rsidTr="00F96002">
        <w:tc>
          <w:tcPr>
            <w:tcW w:w="8828" w:type="dxa"/>
            <w:shd w:val="clear" w:color="auto" w:fill="1F3864" w:themeFill="accent1" w:themeFillShade="80"/>
          </w:tcPr>
          <w:p w:rsidR="00F96002" w:rsidRPr="00DB14EB" w:rsidRDefault="00F96002" w:rsidP="001D35B9">
            <w:pPr>
              <w:jc w:val="both"/>
              <w:rPr>
                <w:rFonts w:ascii="Helvetica" w:hAnsi="Helvetica" w:cs="Arial"/>
                <w:sz w:val="20"/>
                <w:szCs w:val="20"/>
              </w:rPr>
            </w:pPr>
            <w:r w:rsidRPr="00DB14EB">
              <w:rPr>
                <w:rFonts w:ascii="Helvetica" w:hAnsi="Helvetica" w:cs="Arial"/>
                <w:b/>
                <w:sz w:val="20"/>
                <w:szCs w:val="20"/>
              </w:rPr>
              <w:t>Event</w:t>
            </w:r>
            <w:r w:rsidR="00023574" w:rsidRPr="00DB14EB">
              <w:rPr>
                <w:rFonts w:ascii="Helvetica" w:hAnsi="Helvetica" w:cs="Arial"/>
                <w:b/>
                <w:sz w:val="20"/>
                <w:szCs w:val="20"/>
              </w:rPr>
              <w:t>o</w:t>
            </w:r>
          </w:p>
        </w:tc>
      </w:tr>
    </w:tbl>
    <w:p w:rsidR="004C1AD4" w:rsidRPr="00DB14EB" w:rsidRDefault="00023574" w:rsidP="000118DB">
      <w:pPr>
        <w:spacing w:after="120"/>
        <w:contextualSpacing/>
        <w:rPr>
          <w:rFonts w:ascii="Helvetica" w:hAnsi="Helvetica" w:cs="Arial"/>
          <w:b/>
          <w:sz w:val="20"/>
          <w:szCs w:val="20"/>
        </w:rPr>
      </w:pPr>
      <w:bookmarkStart w:id="0" w:name="_Hlk26190184"/>
      <w:r w:rsidRPr="00DB14EB">
        <w:rPr>
          <w:rFonts w:ascii="Helvetica" w:hAnsi="Helvetica" w:cs="Arial"/>
          <w:b/>
          <w:sz w:val="20"/>
          <w:szCs w:val="20"/>
        </w:rPr>
        <w:t xml:space="preserve">Semana de Pagos </w:t>
      </w:r>
      <w:r w:rsidR="00B763C7" w:rsidRPr="00DB14EB">
        <w:rPr>
          <w:rFonts w:ascii="Helvetica" w:hAnsi="Helvetica" w:cs="Arial"/>
          <w:b/>
          <w:sz w:val="20"/>
          <w:szCs w:val="20"/>
        </w:rPr>
        <w:t>Regional 2019</w:t>
      </w:r>
    </w:p>
    <w:bookmarkEnd w:id="0"/>
    <w:p w:rsidR="00F96002" w:rsidRPr="00DB14EB" w:rsidRDefault="00B763C7" w:rsidP="000118DB">
      <w:pPr>
        <w:spacing w:after="240"/>
        <w:rPr>
          <w:rFonts w:ascii="Helvetica" w:hAnsi="Helvetica" w:cs="Arial"/>
          <w:sz w:val="20"/>
          <w:szCs w:val="20"/>
        </w:rPr>
      </w:pPr>
      <w:r w:rsidRPr="00DB14EB">
        <w:rPr>
          <w:rFonts w:ascii="Helvetica" w:hAnsi="Helvetica" w:cs="Arial"/>
          <w:sz w:val="20"/>
          <w:szCs w:val="20"/>
        </w:rPr>
        <w:t>Willemstad, Cura</w:t>
      </w:r>
      <w:r w:rsidR="00023574" w:rsidRPr="00DB14EB">
        <w:rPr>
          <w:rFonts w:ascii="Helvetica" w:hAnsi="Helvetica" w:cs="Arial"/>
          <w:sz w:val="20"/>
          <w:szCs w:val="20"/>
        </w:rPr>
        <w:t>z</w:t>
      </w:r>
      <w:r w:rsidRPr="00DB14EB">
        <w:rPr>
          <w:rFonts w:ascii="Helvetica" w:hAnsi="Helvetica" w:cs="Arial"/>
          <w:sz w:val="20"/>
          <w:szCs w:val="20"/>
        </w:rPr>
        <w:t>ao, 19-22</w:t>
      </w:r>
      <w:r w:rsidR="004C1AD4" w:rsidRPr="00DB14EB">
        <w:rPr>
          <w:rFonts w:ascii="Helvetica" w:hAnsi="Helvetica" w:cs="Arial"/>
          <w:sz w:val="20"/>
          <w:szCs w:val="20"/>
        </w:rPr>
        <w:t xml:space="preserve"> </w:t>
      </w:r>
      <w:r w:rsidR="00023574" w:rsidRPr="00DB14EB">
        <w:rPr>
          <w:rFonts w:ascii="Helvetica" w:hAnsi="Helvetica" w:cs="Arial"/>
          <w:sz w:val="20"/>
          <w:szCs w:val="20"/>
        </w:rPr>
        <w:t>de n</w:t>
      </w:r>
      <w:r w:rsidR="004C1AD4" w:rsidRPr="00DB14EB">
        <w:rPr>
          <w:rFonts w:ascii="Helvetica" w:hAnsi="Helvetica" w:cs="Arial"/>
          <w:sz w:val="20"/>
          <w:szCs w:val="20"/>
        </w:rPr>
        <w:t>ov</w:t>
      </w:r>
      <w:r w:rsidR="00023574" w:rsidRPr="00DB14EB">
        <w:rPr>
          <w:rFonts w:ascii="Helvetica" w:hAnsi="Helvetica" w:cs="Arial"/>
          <w:sz w:val="20"/>
          <w:szCs w:val="20"/>
        </w:rPr>
        <w:t xml:space="preserve">iembre de </w:t>
      </w:r>
      <w:r w:rsidR="004C1AD4" w:rsidRPr="00DB14EB">
        <w:rPr>
          <w:rFonts w:ascii="Helvetica" w:hAnsi="Helvetica" w:cs="Arial"/>
          <w:sz w:val="20"/>
          <w:szCs w:val="20"/>
        </w:rPr>
        <w:t>2019</w:t>
      </w:r>
    </w:p>
    <w:tbl>
      <w:tblPr>
        <w:tblStyle w:val="Tablaconcuadrcula"/>
        <w:tblW w:w="0" w:type="auto"/>
        <w:shd w:val="clear" w:color="auto" w:fill="1F3864" w:themeFill="accent1" w:themeFillShade="80"/>
        <w:tblLook w:val="04A0" w:firstRow="1" w:lastRow="0" w:firstColumn="1" w:lastColumn="0" w:noHBand="0" w:noVBand="1"/>
      </w:tblPr>
      <w:tblGrid>
        <w:gridCol w:w="8828"/>
      </w:tblGrid>
      <w:tr w:rsidR="00F96002" w:rsidRPr="00DB14EB" w:rsidTr="00F96002">
        <w:tc>
          <w:tcPr>
            <w:tcW w:w="8828" w:type="dxa"/>
            <w:shd w:val="clear" w:color="auto" w:fill="1F3864" w:themeFill="accent1" w:themeFillShade="80"/>
          </w:tcPr>
          <w:p w:rsidR="00F96002" w:rsidRPr="00DB14EB" w:rsidRDefault="00023574" w:rsidP="00F96002">
            <w:pPr>
              <w:rPr>
                <w:rFonts w:ascii="Helvetica" w:hAnsi="Helvetica" w:cs="Arial"/>
                <w:b/>
                <w:sz w:val="20"/>
                <w:szCs w:val="20"/>
              </w:rPr>
            </w:pPr>
            <w:bookmarkStart w:id="1" w:name="_Hlk5025400"/>
            <w:r w:rsidRPr="00DB14EB">
              <w:rPr>
                <w:rFonts w:ascii="Helvetica" w:hAnsi="Helvetica" w:cs="Arial"/>
                <w:b/>
                <w:sz w:val="20"/>
                <w:szCs w:val="20"/>
              </w:rPr>
              <w:t>Resumen</w:t>
            </w:r>
          </w:p>
        </w:tc>
      </w:tr>
    </w:tbl>
    <w:p w:rsidR="002A2F00" w:rsidRPr="00DB14EB" w:rsidRDefault="00023574" w:rsidP="002A2F00">
      <w:pPr>
        <w:spacing w:line="260" w:lineRule="exact"/>
        <w:jc w:val="both"/>
        <w:rPr>
          <w:rFonts w:ascii="Helvetica" w:hAnsi="Helvetica" w:cs="Arial"/>
          <w:sz w:val="20"/>
          <w:szCs w:val="20"/>
          <w:shd w:val="clear" w:color="auto" w:fill="FFFFFF"/>
        </w:rPr>
      </w:pPr>
      <w:bookmarkStart w:id="2" w:name="_Hlk26189387"/>
      <w:bookmarkEnd w:id="1"/>
      <w:r w:rsidRPr="00DB14EB">
        <w:rPr>
          <w:rFonts w:ascii="Helvetica" w:hAnsi="Helvetica" w:cs="Arial"/>
          <w:sz w:val="20"/>
          <w:szCs w:val="20"/>
          <w:shd w:val="clear" w:color="auto" w:fill="FFFFFF"/>
        </w:rPr>
        <w:t xml:space="preserve">El Centro de Estudios Monetarios Latinoamericanos </w:t>
      </w:r>
      <w:r w:rsidR="004C1AD4" w:rsidRPr="00DB14EB">
        <w:rPr>
          <w:rFonts w:ascii="Helvetica" w:hAnsi="Helvetica" w:cs="Arial"/>
          <w:sz w:val="20"/>
          <w:szCs w:val="20"/>
          <w:shd w:val="clear" w:color="auto" w:fill="FFFFFF"/>
        </w:rPr>
        <w:t>(CEMLA)</w:t>
      </w:r>
      <w:r w:rsidR="0047397B" w:rsidRPr="00DB14EB">
        <w:rPr>
          <w:rFonts w:ascii="Helvetica" w:hAnsi="Helvetica" w:cs="Arial"/>
          <w:sz w:val="20"/>
          <w:szCs w:val="20"/>
          <w:shd w:val="clear" w:color="auto" w:fill="FFFFFF"/>
        </w:rPr>
        <w:t xml:space="preserve">, </w:t>
      </w:r>
      <w:r w:rsidRPr="00DB14EB">
        <w:rPr>
          <w:rFonts w:ascii="Helvetica" w:hAnsi="Helvetica" w:cs="Arial"/>
          <w:sz w:val="20"/>
          <w:szCs w:val="20"/>
          <w:shd w:val="clear" w:color="auto" w:fill="FFFFFF"/>
        </w:rPr>
        <w:t xml:space="preserve">el Grupo del Banco Mundial </w:t>
      </w:r>
      <w:r w:rsidR="0047397B" w:rsidRPr="00DB14EB">
        <w:rPr>
          <w:rFonts w:ascii="Helvetica" w:hAnsi="Helvetica" w:cs="Arial"/>
          <w:sz w:val="20"/>
          <w:szCs w:val="20"/>
          <w:shd w:val="clear" w:color="auto" w:fill="FFFFFF"/>
        </w:rPr>
        <w:t>(</w:t>
      </w:r>
      <w:r w:rsidRPr="00DB14EB">
        <w:rPr>
          <w:rFonts w:ascii="Helvetica" w:hAnsi="Helvetica" w:cs="Arial"/>
          <w:sz w:val="20"/>
          <w:szCs w:val="20"/>
          <w:shd w:val="clear" w:color="auto" w:fill="FFFFFF"/>
        </w:rPr>
        <w:t>GBM</w:t>
      </w:r>
      <w:r w:rsidR="0047397B" w:rsidRPr="00DB14EB">
        <w:rPr>
          <w:rFonts w:ascii="Helvetica" w:hAnsi="Helvetica" w:cs="Arial"/>
          <w:sz w:val="20"/>
          <w:szCs w:val="20"/>
          <w:shd w:val="clear" w:color="auto" w:fill="FFFFFF"/>
        </w:rPr>
        <w:t xml:space="preserve">) </w:t>
      </w:r>
      <w:r w:rsidRPr="00DB14EB">
        <w:rPr>
          <w:rFonts w:ascii="Helvetica" w:hAnsi="Helvetica" w:cs="Arial"/>
          <w:sz w:val="20"/>
          <w:szCs w:val="20"/>
          <w:shd w:val="clear" w:color="auto" w:fill="FFFFFF"/>
        </w:rPr>
        <w:t xml:space="preserve">y el Comité de Pagos e Infraestructuras de Mercados </w:t>
      </w:r>
      <w:r w:rsidR="0047397B" w:rsidRPr="00DB14EB">
        <w:rPr>
          <w:rFonts w:ascii="Helvetica" w:hAnsi="Helvetica" w:cs="Arial"/>
          <w:sz w:val="20"/>
          <w:szCs w:val="20"/>
          <w:shd w:val="clear" w:color="auto" w:fill="FFFFFF"/>
        </w:rPr>
        <w:t xml:space="preserve">(CPMI) </w:t>
      </w:r>
      <w:r w:rsidR="004C1AD4" w:rsidRPr="00DB14EB">
        <w:rPr>
          <w:rFonts w:ascii="Helvetica" w:hAnsi="Helvetica" w:cs="Arial"/>
          <w:sz w:val="20"/>
          <w:szCs w:val="20"/>
          <w:shd w:val="clear" w:color="auto" w:fill="FFFFFF"/>
        </w:rPr>
        <w:t>organiz</w:t>
      </w:r>
      <w:r w:rsidRPr="00DB14EB">
        <w:rPr>
          <w:rFonts w:ascii="Helvetica" w:hAnsi="Helvetica" w:cs="Arial"/>
          <w:sz w:val="20"/>
          <w:szCs w:val="20"/>
          <w:shd w:val="clear" w:color="auto" w:fill="FFFFFF"/>
        </w:rPr>
        <w:t xml:space="preserve">aron la Semana de Pagos Regional </w:t>
      </w:r>
      <w:r w:rsidR="0047397B" w:rsidRPr="00DB14EB">
        <w:rPr>
          <w:rFonts w:ascii="Helvetica" w:hAnsi="Helvetica" w:cs="Arial"/>
          <w:sz w:val="20"/>
          <w:szCs w:val="20"/>
          <w:shd w:val="clear" w:color="auto" w:fill="FFFFFF"/>
        </w:rPr>
        <w:t>2019</w:t>
      </w:r>
      <w:r w:rsidR="004C1AD4" w:rsidRPr="00DB14EB">
        <w:rPr>
          <w:rFonts w:ascii="Helvetica" w:hAnsi="Helvetica" w:cs="Arial"/>
          <w:sz w:val="20"/>
          <w:szCs w:val="20"/>
          <w:shd w:val="clear" w:color="auto" w:fill="FFFFFF"/>
        </w:rPr>
        <w:t xml:space="preserve"> </w:t>
      </w:r>
      <w:r w:rsidRPr="00DB14EB">
        <w:rPr>
          <w:rFonts w:ascii="Helvetica" w:hAnsi="Helvetica" w:cs="Arial"/>
          <w:sz w:val="20"/>
          <w:szCs w:val="20"/>
          <w:shd w:val="clear" w:color="auto" w:fill="FFFFFF"/>
        </w:rPr>
        <w:t>e</w:t>
      </w:r>
      <w:r w:rsidR="0047397B" w:rsidRPr="00DB14EB">
        <w:rPr>
          <w:rFonts w:ascii="Helvetica" w:hAnsi="Helvetica" w:cs="Arial"/>
          <w:sz w:val="20"/>
          <w:szCs w:val="20"/>
          <w:shd w:val="clear" w:color="auto" w:fill="FFFFFF"/>
        </w:rPr>
        <w:t>n Willemstad, Cura</w:t>
      </w:r>
      <w:r w:rsidRPr="00DB14EB">
        <w:rPr>
          <w:rFonts w:ascii="Helvetica" w:hAnsi="Helvetica" w:cs="Arial"/>
          <w:sz w:val="20"/>
          <w:szCs w:val="20"/>
          <w:shd w:val="clear" w:color="auto" w:fill="FFFFFF"/>
        </w:rPr>
        <w:t>z</w:t>
      </w:r>
      <w:r w:rsidR="0047397B" w:rsidRPr="00DB14EB">
        <w:rPr>
          <w:rFonts w:ascii="Helvetica" w:hAnsi="Helvetica" w:cs="Arial"/>
          <w:sz w:val="20"/>
          <w:szCs w:val="20"/>
          <w:shd w:val="clear" w:color="auto" w:fill="FFFFFF"/>
        </w:rPr>
        <w:t>ao</w:t>
      </w:r>
      <w:r w:rsidR="004C1AD4" w:rsidRPr="00DB14EB">
        <w:rPr>
          <w:rFonts w:ascii="Helvetica" w:hAnsi="Helvetica" w:cs="Arial"/>
          <w:sz w:val="20"/>
          <w:szCs w:val="20"/>
          <w:shd w:val="clear" w:color="auto" w:fill="FFFFFF"/>
        </w:rPr>
        <w:t xml:space="preserve"> </w:t>
      </w:r>
      <w:r w:rsidRPr="00DB14EB">
        <w:rPr>
          <w:rFonts w:ascii="Helvetica" w:hAnsi="Helvetica" w:cs="Arial"/>
          <w:sz w:val="20"/>
          <w:szCs w:val="20"/>
          <w:shd w:val="clear" w:color="auto" w:fill="FFFFFF"/>
        </w:rPr>
        <w:t xml:space="preserve">del </w:t>
      </w:r>
      <w:r w:rsidR="0047397B" w:rsidRPr="00DB14EB">
        <w:rPr>
          <w:rFonts w:ascii="Helvetica" w:hAnsi="Helvetica" w:cs="Arial"/>
          <w:sz w:val="20"/>
          <w:szCs w:val="20"/>
          <w:shd w:val="clear" w:color="auto" w:fill="FFFFFF"/>
        </w:rPr>
        <w:t>19</w:t>
      </w:r>
      <w:r w:rsidRPr="00DB14EB">
        <w:rPr>
          <w:rFonts w:ascii="Helvetica" w:hAnsi="Helvetica" w:cs="Arial"/>
          <w:sz w:val="20"/>
          <w:szCs w:val="20"/>
          <w:shd w:val="clear" w:color="auto" w:fill="FFFFFF"/>
        </w:rPr>
        <w:t xml:space="preserve"> al </w:t>
      </w:r>
      <w:r w:rsidR="0047397B" w:rsidRPr="00DB14EB">
        <w:rPr>
          <w:rFonts w:ascii="Helvetica" w:hAnsi="Helvetica" w:cs="Arial"/>
          <w:sz w:val="20"/>
          <w:szCs w:val="20"/>
          <w:shd w:val="clear" w:color="auto" w:fill="FFFFFF"/>
        </w:rPr>
        <w:t>22</w:t>
      </w:r>
      <w:r w:rsidRPr="00DB14EB">
        <w:rPr>
          <w:rFonts w:ascii="Helvetica" w:hAnsi="Helvetica" w:cs="Arial"/>
          <w:sz w:val="20"/>
          <w:szCs w:val="20"/>
          <w:shd w:val="clear" w:color="auto" w:fill="FFFFFF"/>
        </w:rPr>
        <w:t xml:space="preserve"> de noviembre de</w:t>
      </w:r>
      <w:r w:rsidR="004C1AD4" w:rsidRPr="00DB14EB">
        <w:rPr>
          <w:rFonts w:ascii="Helvetica" w:hAnsi="Helvetica" w:cs="Arial"/>
          <w:sz w:val="20"/>
          <w:szCs w:val="20"/>
          <w:shd w:val="clear" w:color="auto" w:fill="FFFFFF"/>
        </w:rPr>
        <w:t xml:space="preserve"> 2019.</w:t>
      </w:r>
      <w:r w:rsidR="002A2F00" w:rsidRPr="00DB14EB">
        <w:rPr>
          <w:rFonts w:ascii="Helvetica" w:hAnsi="Helvetica" w:cs="Arial"/>
          <w:sz w:val="20"/>
          <w:szCs w:val="20"/>
          <w:shd w:val="clear" w:color="auto" w:fill="FFFFFF"/>
        </w:rPr>
        <w:t xml:space="preserve"> </w:t>
      </w:r>
      <w:r w:rsidRPr="00DB14EB">
        <w:rPr>
          <w:rFonts w:ascii="Helvetica" w:hAnsi="Helvetica" w:cs="Arial"/>
          <w:sz w:val="20"/>
          <w:szCs w:val="20"/>
          <w:shd w:val="clear" w:color="auto" w:fill="FFFFFF"/>
        </w:rPr>
        <w:t>Asistieron a la reunión más de 60 participantes en representación de bancos centrales de América Latina y el Caribe, organi</w:t>
      </w:r>
      <w:r w:rsidR="00971045">
        <w:rPr>
          <w:rFonts w:ascii="Helvetica" w:hAnsi="Helvetica" w:cs="Arial"/>
          <w:sz w:val="20"/>
          <w:szCs w:val="20"/>
          <w:shd w:val="clear" w:color="auto" w:fill="FFFFFF"/>
        </w:rPr>
        <w:t>smos</w:t>
      </w:r>
      <w:r w:rsidRPr="00DB14EB">
        <w:rPr>
          <w:rFonts w:ascii="Helvetica" w:hAnsi="Helvetica" w:cs="Arial"/>
          <w:sz w:val="20"/>
          <w:szCs w:val="20"/>
          <w:shd w:val="clear" w:color="auto" w:fill="FFFFFF"/>
        </w:rPr>
        <w:t xml:space="preserve"> internacionales y bancos centrales de África, Asia y Europa.</w:t>
      </w:r>
    </w:p>
    <w:p w:rsidR="004C1AD4" w:rsidRPr="00DB14EB" w:rsidRDefault="00023574" w:rsidP="004C1AD4">
      <w:pPr>
        <w:spacing w:line="260" w:lineRule="exact"/>
        <w:jc w:val="both"/>
        <w:rPr>
          <w:rFonts w:ascii="Helvetica" w:hAnsi="Helvetica" w:cs="Arial"/>
          <w:sz w:val="20"/>
          <w:szCs w:val="20"/>
          <w:shd w:val="clear" w:color="auto" w:fill="FFFFFF"/>
        </w:rPr>
      </w:pPr>
      <w:r w:rsidRPr="00DB14EB">
        <w:rPr>
          <w:rFonts w:ascii="Helvetica" w:hAnsi="Helvetica" w:cs="Arial"/>
          <w:sz w:val="20"/>
          <w:szCs w:val="20"/>
          <w:shd w:val="clear" w:color="auto" w:fill="FFFFFF"/>
        </w:rPr>
        <w:t xml:space="preserve">El objetivo de la Reunión fue reunir a los expertos y jefes de departamento de pagos e infraestructuras del mercado financiero, para discutir políticas y desarrollos </w:t>
      </w:r>
      <w:r w:rsidR="00971045">
        <w:rPr>
          <w:rFonts w:ascii="Helvetica" w:hAnsi="Helvetica" w:cs="Arial"/>
          <w:sz w:val="20"/>
          <w:szCs w:val="20"/>
          <w:shd w:val="clear" w:color="auto" w:fill="FFFFFF"/>
        </w:rPr>
        <w:t>relevantes</w:t>
      </w:r>
      <w:r w:rsidRPr="00DB14EB">
        <w:rPr>
          <w:rFonts w:ascii="Helvetica" w:hAnsi="Helvetica" w:cs="Arial"/>
          <w:sz w:val="20"/>
          <w:szCs w:val="20"/>
          <w:shd w:val="clear" w:color="auto" w:fill="FFFFFF"/>
        </w:rPr>
        <w:t xml:space="preserve">, incluyendo </w:t>
      </w:r>
      <w:r w:rsidR="00971045">
        <w:rPr>
          <w:rFonts w:ascii="Helvetica" w:hAnsi="Helvetica" w:cs="Arial"/>
          <w:sz w:val="20"/>
          <w:szCs w:val="20"/>
          <w:shd w:val="clear" w:color="auto" w:fill="FFFFFF"/>
        </w:rPr>
        <w:t xml:space="preserve">los </w:t>
      </w:r>
      <w:r w:rsidRPr="00DB14EB">
        <w:rPr>
          <w:rFonts w:ascii="Helvetica" w:hAnsi="Helvetica" w:cs="Arial"/>
          <w:sz w:val="20"/>
          <w:szCs w:val="20"/>
          <w:shd w:val="clear" w:color="auto" w:fill="FFFFFF"/>
        </w:rPr>
        <w:t xml:space="preserve">Global Stablecoins (GSC) y </w:t>
      </w:r>
      <w:r w:rsidR="00971045">
        <w:rPr>
          <w:rFonts w:ascii="Helvetica" w:hAnsi="Helvetica" w:cs="Arial"/>
          <w:sz w:val="20"/>
          <w:szCs w:val="20"/>
          <w:shd w:val="clear" w:color="auto" w:fill="FFFFFF"/>
        </w:rPr>
        <w:t xml:space="preserve">las </w:t>
      </w:r>
      <w:r w:rsidRPr="00DB14EB">
        <w:rPr>
          <w:rFonts w:ascii="Helvetica" w:hAnsi="Helvetica" w:cs="Arial"/>
          <w:sz w:val="20"/>
          <w:szCs w:val="20"/>
          <w:shd w:val="clear" w:color="auto" w:fill="FFFFFF"/>
        </w:rPr>
        <w:t>Monedas Digitales del Banco Central (CBDC),</w:t>
      </w:r>
      <w:r w:rsidR="00971045">
        <w:rPr>
          <w:rFonts w:ascii="Helvetica" w:hAnsi="Helvetica" w:cs="Arial"/>
          <w:sz w:val="20"/>
          <w:szCs w:val="20"/>
          <w:shd w:val="clear" w:color="auto" w:fill="FFFFFF"/>
        </w:rPr>
        <w:t xml:space="preserve"> la</w:t>
      </w:r>
      <w:r w:rsidRPr="00DB14EB">
        <w:rPr>
          <w:rFonts w:ascii="Helvetica" w:hAnsi="Helvetica" w:cs="Arial"/>
          <w:sz w:val="20"/>
          <w:szCs w:val="20"/>
          <w:shd w:val="clear" w:color="auto" w:fill="FFFFFF"/>
        </w:rPr>
        <w:t xml:space="preserve"> regulación y </w:t>
      </w:r>
      <w:r w:rsidR="00971045">
        <w:rPr>
          <w:rFonts w:ascii="Helvetica" w:hAnsi="Helvetica" w:cs="Arial"/>
          <w:sz w:val="20"/>
          <w:szCs w:val="20"/>
          <w:shd w:val="clear" w:color="auto" w:fill="FFFFFF"/>
        </w:rPr>
        <w:t>vigilancia</w:t>
      </w:r>
      <w:r w:rsidRPr="00DB14EB">
        <w:rPr>
          <w:rFonts w:ascii="Helvetica" w:hAnsi="Helvetica" w:cs="Arial"/>
          <w:sz w:val="20"/>
          <w:szCs w:val="20"/>
          <w:shd w:val="clear" w:color="auto" w:fill="FFFFFF"/>
        </w:rPr>
        <w:t xml:space="preserve"> de </w:t>
      </w:r>
      <w:r w:rsidR="005E253B" w:rsidRPr="00DB14EB">
        <w:rPr>
          <w:rFonts w:ascii="Helvetica" w:hAnsi="Helvetica" w:cs="Arial"/>
          <w:sz w:val="20"/>
          <w:szCs w:val="20"/>
          <w:shd w:val="clear" w:color="auto" w:fill="FFFFFF"/>
        </w:rPr>
        <w:t xml:space="preserve">innovaciones de </w:t>
      </w:r>
      <w:r w:rsidRPr="00DB14EB">
        <w:rPr>
          <w:rFonts w:ascii="Helvetica" w:hAnsi="Helvetica" w:cs="Arial"/>
          <w:sz w:val="20"/>
          <w:szCs w:val="20"/>
          <w:shd w:val="clear" w:color="auto" w:fill="FFFFFF"/>
        </w:rPr>
        <w:t>pagos y desarrollos en sistemas de liquidación bruta en tiempo real (RTGS), entre otros temas.</w:t>
      </w:r>
    </w:p>
    <w:p w:rsidR="004B5FA5" w:rsidRPr="00DB14EB" w:rsidRDefault="005E253B" w:rsidP="0016287A">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Agenda internacional de pagos e infraestructuras del mercado financiero</w:t>
      </w:r>
    </w:p>
    <w:p w:rsidR="0016287A" w:rsidRPr="00DB14EB" w:rsidRDefault="005E253B" w:rsidP="004B5FA5">
      <w:pPr>
        <w:jc w:val="both"/>
        <w:rPr>
          <w:rFonts w:ascii="Helvetica" w:hAnsi="Helvetica" w:cs="Arial"/>
          <w:bCs/>
          <w:color w:val="000000"/>
          <w:sz w:val="20"/>
        </w:rPr>
      </w:pPr>
      <w:r w:rsidRPr="00DB14EB">
        <w:rPr>
          <w:rFonts w:ascii="Helvetica" w:hAnsi="Helvetica" w:cs="Arial"/>
          <w:bCs/>
          <w:color w:val="000000"/>
          <w:sz w:val="20"/>
        </w:rPr>
        <w:t xml:space="preserve">El </w:t>
      </w:r>
      <w:r w:rsidR="00971045">
        <w:rPr>
          <w:rFonts w:ascii="Helvetica" w:hAnsi="Helvetica" w:cs="Arial"/>
          <w:bCs/>
          <w:color w:val="000000"/>
          <w:sz w:val="20"/>
        </w:rPr>
        <w:t>j</w:t>
      </w:r>
      <w:r w:rsidRPr="00DB14EB">
        <w:rPr>
          <w:rFonts w:ascii="Helvetica" w:hAnsi="Helvetica" w:cs="Arial"/>
          <w:bCs/>
          <w:color w:val="000000"/>
          <w:sz w:val="20"/>
        </w:rPr>
        <w:t xml:space="preserve">efe de la Secretaría de CPMI, Sr. Morten Bech, presentó los temas clave que están </w:t>
      </w:r>
      <w:r w:rsidR="00971045">
        <w:rPr>
          <w:rFonts w:ascii="Helvetica" w:hAnsi="Helvetica" w:cs="Arial"/>
          <w:bCs/>
          <w:color w:val="000000"/>
          <w:sz w:val="20"/>
        </w:rPr>
        <w:t>redefiniendo</w:t>
      </w:r>
      <w:r w:rsidRPr="00DB14EB">
        <w:rPr>
          <w:rFonts w:ascii="Helvetica" w:hAnsi="Helvetica" w:cs="Arial"/>
          <w:bCs/>
          <w:color w:val="000000"/>
          <w:sz w:val="20"/>
        </w:rPr>
        <w:t xml:space="preserve"> el panorama de pagos e infraestructuras de mercado, </w:t>
      </w:r>
      <w:r w:rsidR="00971045">
        <w:rPr>
          <w:rFonts w:ascii="Helvetica" w:hAnsi="Helvetica" w:cs="Arial"/>
          <w:bCs/>
          <w:color w:val="000000"/>
          <w:sz w:val="20"/>
        </w:rPr>
        <w:t>incluyendo</w:t>
      </w:r>
      <w:r w:rsidRPr="00DB14EB">
        <w:rPr>
          <w:rFonts w:ascii="Helvetica" w:hAnsi="Helvetica" w:cs="Arial"/>
          <w:bCs/>
          <w:color w:val="000000"/>
          <w:sz w:val="20"/>
        </w:rPr>
        <w:t xml:space="preserve">: </w:t>
      </w:r>
      <w:r w:rsidR="00971045">
        <w:rPr>
          <w:rFonts w:ascii="Helvetica" w:hAnsi="Helvetica" w:cs="Arial"/>
          <w:bCs/>
          <w:color w:val="000000"/>
          <w:sz w:val="20"/>
        </w:rPr>
        <w:t xml:space="preserve">cómo </w:t>
      </w:r>
      <w:r w:rsidRPr="00DB14EB">
        <w:rPr>
          <w:rFonts w:ascii="Helvetica" w:hAnsi="Helvetica" w:cs="Arial"/>
          <w:bCs/>
          <w:color w:val="000000"/>
          <w:sz w:val="20"/>
        </w:rPr>
        <w:t>abordar las deficiencias de los actuales acuerdos de pagos transfronterizos, la emisión de CBDC y la aparición de GSC, y las iniciativas para modernizar los sistemas RTGS a escala internacional.</w:t>
      </w:r>
    </w:p>
    <w:p w:rsidR="002B6154" w:rsidRPr="00DB14EB" w:rsidRDefault="005E253B" w:rsidP="004B5FA5">
      <w:pPr>
        <w:jc w:val="both"/>
        <w:rPr>
          <w:rFonts w:ascii="Helvetica" w:hAnsi="Helvetica" w:cs="Arial"/>
          <w:bCs/>
          <w:color w:val="000000"/>
          <w:sz w:val="20"/>
        </w:rPr>
      </w:pPr>
      <w:r w:rsidRPr="00DB14EB">
        <w:rPr>
          <w:rFonts w:ascii="Helvetica" w:hAnsi="Helvetica" w:cs="Arial"/>
          <w:bCs/>
          <w:color w:val="000000"/>
          <w:sz w:val="20"/>
        </w:rPr>
        <w:t>A lo largo de la presentación, se discuti</w:t>
      </w:r>
      <w:r w:rsidR="003C5295" w:rsidRPr="00DB14EB">
        <w:rPr>
          <w:rFonts w:ascii="Helvetica" w:hAnsi="Helvetica" w:cs="Arial"/>
          <w:bCs/>
          <w:color w:val="000000"/>
          <w:sz w:val="20"/>
        </w:rPr>
        <w:t xml:space="preserve">ó </w:t>
      </w:r>
      <w:r w:rsidR="00BA1D75" w:rsidRPr="00DB14EB">
        <w:rPr>
          <w:rFonts w:ascii="Helvetica" w:hAnsi="Helvetica" w:cs="Arial"/>
          <w:bCs/>
          <w:color w:val="000000"/>
          <w:sz w:val="20"/>
        </w:rPr>
        <w:t>que,</w:t>
      </w:r>
      <w:r w:rsidRPr="00DB14EB">
        <w:rPr>
          <w:rFonts w:ascii="Helvetica" w:hAnsi="Helvetica" w:cs="Arial"/>
          <w:bCs/>
          <w:color w:val="000000"/>
          <w:sz w:val="20"/>
        </w:rPr>
        <w:t xml:space="preserve"> </w:t>
      </w:r>
      <w:r w:rsidR="00971045">
        <w:rPr>
          <w:rFonts w:ascii="Helvetica" w:hAnsi="Helvetica" w:cs="Arial"/>
          <w:bCs/>
          <w:color w:val="000000"/>
          <w:sz w:val="20"/>
        </w:rPr>
        <w:t>ante</w:t>
      </w:r>
      <w:r w:rsidRPr="00DB14EB">
        <w:rPr>
          <w:rFonts w:ascii="Helvetica" w:hAnsi="Helvetica" w:cs="Arial"/>
          <w:bCs/>
          <w:color w:val="000000"/>
          <w:sz w:val="20"/>
        </w:rPr>
        <w:t xml:space="preserve"> los desarrollos </w:t>
      </w:r>
      <w:r w:rsidR="00971045">
        <w:rPr>
          <w:rFonts w:ascii="Helvetica" w:hAnsi="Helvetica" w:cs="Arial"/>
          <w:bCs/>
          <w:color w:val="000000"/>
          <w:sz w:val="20"/>
        </w:rPr>
        <w:t>explicados</w:t>
      </w:r>
      <w:r w:rsidRPr="00DB14EB">
        <w:rPr>
          <w:rFonts w:ascii="Helvetica" w:hAnsi="Helvetica" w:cs="Arial"/>
          <w:bCs/>
          <w:color w:val="000000"/>
          <w:sz w:val="20"/>
        </w:rPr>
        <w:t xml:space="preserve"> por las nuevas tecnologías, </w:t>
      </w:r>
      <w:r w:rsidR="00971045">
        <w:rPr>
          <w:rFonts w:ascii="Helvetica" w:hAnsi="Helvetica" w:cs="Arial"/>
          <w:bCs/>
          <w:color w:val="000000"/>
          <w:sz w:val="20"/>
        </w:rPr>
        <w:t xml:space="preserve">hay </w:t>
      </w:r>
      <w:r w:rsidRPr="00DB14EB">
        <w:rPr>
          <w:rFonts w:ascii="Helvetica" w:hAnsi="Helvetica" w:cs="Arial"/>
          <w:bCs/>
          <w:color w:val="000000"/>
          <w:sz w:val="20"/>
        </w:rPr>
        <w:t xml:space="preserve">riesgos inmediatos </w:t>
      </w:r>
      <w:r w:rsidR="00971045">
        <w:rPr>
          <w:rFonts w:ascii="Helvetica" w:hAnsi="Helvetica" w:cs="Arial"/>
          <w:bCs/>
          <w:color w:val="000000"/>
          <w:sz w:val="20"/>
        </w:rPr>
        <w:t>para</w:t>
      </w:r>
      <w:r w:rsidRPr="00DB14EB">
        <w:rPr>
          <w:rFonts w:ascii="Helvetica" w:hAnsi="Helvetica" w:cs="Arial"/>
          <w:bCs/>
          <w:color w:val="000000"/>
          <w:sz w:val="20"/>
        </w:rPr>
        <w:t xml:space="preserve"> la seguridad y la confianza en las infraestructuras del mercado financiero. El riesgo </w:t>
      </w:r>
      <w:r w:rsidR="00971045" w:rsidRPr="00DB14EB">
        <w:rPr>
          <w:rFonts w:ascii="Helvetica" w:hAnsi="Helvetica" w:cs="Arial"/>
          <w:bCs/>
          <w:color w:val="000000"/>
          <w:sz w:val="20"/>
        </w:rPr>
        <w:t>y fraude</w:t>
      </w:r>
      <w:r w:rsidR="00971045" w:rsidRPr="00DB14EB">
        <w:rPr>
          <w:rFonts w:ascii="Helvetica" w:hAnsi="Helvetica" w:cs="Arial"/>
          <w:bCs/>
          <w:color w:val="000000"/>
          <w:sz w:val="20"/>
        </w:rPr>
        <w:t xml:space="preserve"> </w:t>
      </w:r>
      <w:r w:rsidRPr="00DB14EB">
        <w:rPr>
          <w:rFonts w:ascii="Helvetica" w:hAnsi="Helvetica" w:cs="Arial"/>
          <w:bCs/>
          <w:color w:val="000000"/>
          <w:sz w:val="20"/>
        </w:rPr>
        <w:t>ciber</w:t>
      </w:r>
      <w:r w:rsidR="00971045">
        <w:rPr>
          <w:rFonts w:ascii="Helvetica" w:hAnsi="Helvetica" w:cs="Arial"/>
          <w:bCs/>
          <w:color w:val="000000"/>
          <w:sz w:val="20"/>
        </w:rPr>
        <w:t>nético</w:t>
      </w:r>
      <w:r w:rsidRPr="00DB14EB">
        <w:rPr>
          <w:rFonts w:ascii="Helvetica" w:hAnsi="Helvetica" w:cs="Arial"/>
          <w:bCs/>
          <w:color w:val="000000"/>
          <w:sz w:val="20"/>
        </w:rPr>
        <w:t xml:space="preserve">, así como el riesgo de liquidación de divisas se mencionaron como prioridades principales para la comunidad internacional. Para abordar los nuevos riesgos y las brechas existentes, se subrayó la importancia de que los bancos centrales aprovechen las normas y orientaciones internacionales, y continúen compartiendo las prácticas emergentes </w:t>
      </w:r>
      <w:r w:rsidR="00971045">
        <w:rPr>
          <w:rFonts w:ascii="Helvetica" w:hAnsi="Helvetica" w:cs="Arial"/>
          <w:bCs/>
          <w:color w:val="000000"/>
          <w:sz w:val="20"/>
        </w:rPr>
        <w:t>a nivel regional y global</w:t>
      </w:r>
      <w:r w:rsidRPr="00DB14EB">
        <w:rPr>
          <w:rFonts w:ascii="Helvetica" w:hAnsi="Helvetica" w:cs="Arial"/>
          <w:bCs/>
          <w:color w:val="000000"/>
          <w:sz w:val="20"/>
        </w:rPr>
        <w:t>.</w:t>
      </w:r>
    </w:p>
    <w:p w:rsidR="00C873EF" w:rsidRPr="00DB14EB" w:rsidRDefault="007D42E4" w:rsidP="004B5FA5">
      <w:pPr>
        <w:jc w:val="both"/>
        <w:rPr>
          <w:rFonts w:ascii="Helvetica" w:hAnsi="Helvetica" w:cs="Arial"/>
          <w:bCs/>
          <w:color w:val="000000"/>
          <w:sz w:val="20"/>
        </w:rPr>
      </w:pPr>
      <w:r w:rsidRPr="00DB14EB">
        <w:rPr>
          <w:rFonts w:ascii="Helvetica" w:hAnsi="Helvetica" w:cs="Arial"/>
          <w:bCs/>
          <w:color w:val="000000"/>
          <w:sz w:val="20"/>
        </w:rPr>
        <w:t xml:space="preserve">Para concluir esta presentación, se informó a los bancos centrales sobre las tendencias internacionales mostradas por las Estadísticas del Libro Rojo y el fenómeno </w:t>
      </w:r>
      <w:r w:rsidR="00EC16F3" w:rsidRPr="00DB14EB">
        <w:rPr>
          <w:rFonts w:ascii="Helvetica" w:hAnsi="Helvetica" w:cs="Arial"/>
          <w:bCs/>
          <w:color w:val="000000"/>
          <w:sz w:val="20"/>
        </w:rPr>
        <w:t>Fintech</w:t>
      </w:r>
      <w:r w:rsidRPr="00DB14EB">
        <w:rPr>
          <w:rFonts w:ascii="Helvetica" w:hAnsi="Helvetica" w:cs="Arial"/>
          <w:bCs/>
          <w:color w:val="000000"/>
          <w:sz w:val="20"/>
        </w:rPr>
        <w:t xml:space="preserve"> que ha cambiado la economía de los pagos al introducir una mayor competencia.</w:t>
      </w:r>
    </w:p>
    <w:p w:rsidR="0016287A" w:rsidRPr="00DB14EB" w:rsidRDefault="00EC16F3" w:rsidP="0016287A">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 xml:space="preserve">Sesión 1. Oportunidades alrededor de las </w:t>
      </w:r>
      <w:r w:rsidR="00971045">
        <w:rPr>
          <w:rFonts w:ascii="Helvetica" w:hAnsi="Helvetica" w:cs="Arial"/>
          <w:b/>
          <w:i/>
          <w:iCs/>
          <w:color w:val="000000"/>
          <w:sz w:val="20"/>
        </w:rPr>
        <w:t>Global Stablecoins (GSC)</w:t>
      </w:r>
      <w:r w:rsidRPr="00DB14EB">
        <w:rPr>
          <w:rFonts w:ascii="Helvetica" w:hAnsi="Helvetica" w:cs="Arial"/>
          <w:b/>
          <w:i/>
          <w:iCs/>
          <w:color w:val="000000"/>
          <w:sz w:val="20"/>
        </w:rPr>
        <w:t xml:space="preserve"> y las monedas digitales del banco central (CBDC) en las economías emergentes</w:t>
      </w:r>
    </w:p>
    <w:p w:rsidR="002B6154" w:rsidRPr="00DB14EB" w:rsidRDefault="00EC16F3" w:rsidP="004B5FA5">
      <w:pPr>
        <w:jc w:val="both"/>
        <w:rPr>
          <w:rFonts w:ascii="Helvetica" w:hAnsi="Helvetica" w:cs="Arial"/>
          <w:bCs/>
          <w:color w:val="000000"/>
          <w:sz w:val="20"/>
        </w:rPr>
      </w:pPr>
      <w:r w:rsidRPr="00DB14EB">
        <w:rPr>
          <w:rFonts w:ascii="Helvetica" w:hAnsi="Helvetica" w:cs="Arial"/>
          <w:bCs/>
          <w:color w:val="000000"/>
          <w:sz w:val="20"/>
        </w:rPr>
        <w:t>Esta sesión fue formada por un panel de presentadores de</w:t>
      </w:r>
      <w:r w:rsidR="001D797B">
        <w:rPr>
          <w:rFonts w:ascii="Helvetica" w:hAnsi="Helvetica" w:cs="Arial"/>
          <w:bCs/>
          <w:color w:val="000000"/>
          <w:sz w:val="20"/>
        </w:rPr>
        <w:t xml:space="preserve"> </w:t>
      </w:r>
      <w:r w:rsidRPr="00DB14EB">
        <w:rPr>
          <w:rFonts w:ascii="Helvetica" w:hAnsi="Helvetica" w:cs="Arial"/>
          <w:bCs/>
          <w:color w:val="000000"/>
          <w:sz w:val="20"/>
        </w:rPr>
        <w:t>l</w:t>
      </w:r>
      <w:r w:rsidR="001D797B">
        <w:rPr>
          <w:rFonts w:ascii="Helvetica" w:hAnsi="Helvetica" w:cs="Arial"/>
          <w:bCs/>
          <w:color w:val="000000"/>
          <w:sz w:val="20"/>
        </w:rPr>
        <w:t>os</w:t>
      </w:r>
      <w:r w:rsidRPr="00DB14EB">
        <w:rPr>
          <w:rFonts w:ascii="Helvetica" w:hAnsi="Helvetica" w:cs="Arial"/>
          <w:bCs/>
          <w:color w:val="000000"/>
          <w:sz w:val="20"/>
        </w:rPr>
        <w:t xml:space="preserve"> Banco</w:t>
      </w:r>
      <w:r w:rsidR="001D797B">
        <w:rPr>
          <w:rFonts w:ascii="Helvetica" w:hAnsi="Helvetica" w:cs="Arial"/>
          <w:bCs/>
          <w:color w:val="000000"/>
          <w:sz w:val="20"/>
        </w:rPr>
        <w:t>s</w:t>
      </w:r>
      <w:r w:rsidRPr="00DB14EB">
        <w:rPr>
          <w:rFonts w:ascii="Helvetica" w:hAnsi="Helvetica" w:cs="Arial"/>
          <w:bCs/>
          <w:color w:val="000000"/>
          <w:sz w:val="20"/>
        </w:rPr>
        <w:t xml:space="preserve"> Central</w:t>
      </w:r>
      <w:r w:rsidR="001D797B">
        <w:rPr>
          <w:rFonts w:ascii="Helvetica" w:hAnsi="Helvetica" w:cs="Arial"/>
          <w:bCs/>
          <w:color w:val="000000"/>
          <w:sz w:val="20"/>
        </w:rPr>
        <w:t>es</w:t>
      </w:r>
      <w:r w:rsidRPr="00DB14EB">
        <w:rPr>
          <w:rFonts w:ascii="Helvetica" w:hAnsi="Helvetica" w:cs="Arial"/>
          <w:bCs/>
          <w:color w:val="000000"/>
          <w:sz w:val="20"/>
        </w:rPr>
        <w:t xml:space="preserve"> de Bahamas, Curazao y San Martín, Caribe Oriental y Uruguay.</w:t>
      </w:r>
    </w:p>
    <w:p w:rsidR="00EC16F3" w:rsidRPr="00DB14EB" w:rsidRDefault="00EC16F3" w:rsidP="004B5FA5">
      <w:pPr>
        <w:jc w:val="both"/>
        <w:rPr>
          <w:rFonts w:ascii="Helvetica" w:hAnsi="Helvetica" w:cs="Arial"/>
          <w:bCs/>
          <w:color w:val="000000"/>
          <w:sz w:val="20"/>
        </w:rPr>
      </w:pPr>
      <w:r w:rsidRPr="00DB14EB">
        <w:rPr>
          <w:rFonts w:ascii="Helvetica" w:hAnsi="Helvetica" w:cs="Arial"/>
          <w:bCs/>
          <w:color w:val="000000"/>
          <w:sz w:val="20"/>
        </w:rPr>
        <w:t xml:space="preserve">Primero, el </w:t>
      </w:r>
      <w:r w:rsidR="00B11EE6" w:rsidRPr="00DB14EB">
        <w:rPr>
          <w:rFonts w:ascii="Helvetica" w:hAnsi="Helvetica" w:cs="Arial"/>
          <w:bCs/>
          <w:color w:val="000000"/>
          <w:sz w:val="20"/>
        </w:rPr>
        <w:t>presidente</w:t>
      </w:r>
      <w:r w:rsidRPr="00DB14EB">
        <w:rPr>
          <w:rFonts w:ascii="Helvetica" w:hAnsi="Helvetica" w:cs="Arial"/>
          <w:bCs/>
          <w:color w:val="000000"/>
          <w:sz w:val="20"/>
        </w:rPr>
        <w:t xml:space="preserve"> de la sesión presentó una descripción general de cómo </w:t>
      </w:r>
      <w:r w:rsidR="00971045">
        <w:rPr>
          <w:rFonts w:ascii="Helvetica" w:hAnsi="Helvetica" w:cs="Arial"/>
          <w:bCs/>
          <w:color w:val="000000"/>
          <w:sz w:val="20"/>
        </w:rPr>
        <w:t xml:space="preserve">las </w:t>
      </w:r>
      <w:r w:rsidRPr="00DB14EB">
        <w:rPr>
          <w:rFonts w:ascii="Helvetica" w:hAnsi="Helvetica" w:cs="Arial"/>
          <w:bCs/>
          <w:color w:val="000000"/>
          <w:sz w:val="20"/>
        </w:rPr>
        <w:t xml:space="preserve">CBDC y </w:t>
      </w:r>
      <w:r w:rsidR="00971045">
        <w:rPr>
          <w:rFonts w:ascii="Helvetica" w:hAnsi="Helvetica" w:cs="Arial"/>
          <w:bCs/>
          <w:color w:val="000000"/>
          <w:sz w:val="20"/>
        </w:rPr>
        <w:t xml:space="preserve">las </w:t>
      </w:r>
      <w:r w:rsidRPr="00DB14EB">
        <w:rPr>
          <w:rFonts w:ascii="Helvetica" w:hAnsi="Helvetica" w:cs="Arial"/>
          <w:bCs/>
          <w:color w:val="000000"/>
          <w:sz w:val="20"/>
        </w:rPr>
        <w:t xml:space="preserve">GSC pueden estar cambiando el juego con soluciones de dinero digital. Las ineficiencias existentes a escala nacional y transfronteriza han ayudado a ver el aumento de los proyectos </w:t>
      </w:r>
      <w:r w:rsidR="00971045">
        <w:rPr>
          <w:rFonts w:ascii="Helvetica" w:hAnsi="Helvetica" w:cs="Arial"/>
          <w:bCs/>
          <w:color w:val="000000"/>
          <w:sz w:val="20"/>
        </w:rPr>
        <w:t xml:space="preserve">de </w:t>
      </w:r>
      <w:r w:rsidRPr="00DB14EB">
        <w:rPr>
          <w:rFonts w:ascii="Helvetica" w:hAnsi="Helvetica" w:cs="Arial"/>
          <w:bCs/>
          <w:color w:val="000000"/>
          <w:sz w:val="20"/>
        </w:rPr>
        <w:t>CBDC y GSC. L</w:t>
      </w:r>
      <w:r w:rsidR="00971045">
        <w:rPr>
          <w:rFonts w:ascii="Helvetica" w:hAnsi="Helvetica" w:cs="Arial"/>
          <w:bCs/>
          <w:color w:val="000000"/>
          <w:sz w:val="20"/>
        </w:rPr>
        <w:t>as CBDC</w:t>
      </w:r>
      <w:r w:rsidRPr="00DB14EB">
        <w:rPr>
          <w:rFonts w:ascii="Helvetica" w:hAnsi="Helvetica" w:cs="Arial"/>
          <w:bCs/>
          <w:color w:val="000000"/>
          <w:sz w:val="20"/>
        </w:rPr>
        <w:t xml:space="preserve"> abordan aspectos de inclusión y competencia a escala nacional, mientras que los </w:t>
      </w:r>
      <w:r w:rsidR="00971045">
        <w:rPr>
          <w:rFonts w:ascii="Helvetica" w:hAnsi="Helvetica" w:cs="Arial"/>
          <w:bCs/>
          <w:color w:val="000000"/>
          <w:sz w:val="20"/>
        </w:rPr>
        <w:t>GSC</w:t>
      </w:r>
      <w:r w:rsidRPr="00DB14EB">
        <w:rPr>
          <w:rFonts w:ascii="Helvetica" w:hAnsi="Helvetica" w:cs="Arial"/>
          <w:bCs/>
          <w:color w:val="000000"/>
          <w:sz w:val="20"/>
        </w:rPr>
        <w:t xml:space="preserve"> son una respuesta a la falta de </w:t>
      </w:r>
      <w:r w:rsidR="00971045">
        <w:rPr>
          <w:rFonts w:ascii="Helvetica" w:hAnsi="Helvetica" w:cs="Arial"/>
          <w:bCs/>
          <w:color w:val="000000"/>
          <w:sz w:val="20"/>
        </w:rPr>
        <w:t>infraestructura</w:t>
      </w:r>
      <w:r w:rsidRPr="00DB14EB">
        <w:rPr>
          <w:rFonts w:ascii="Helvetica" w:hAnsi="Helvetica" w:cs="Arial"/>
          <w:bCs/>
          <w:color w:val="000000"/>
          <w:sz w:val="20"/>
        </w:rPr>
        <w:t xml:space="preserve"> para realizar pagos en el extranjero, por ejemplo, las remesas de los migrantes. Como parte de la introducción de la sesión, se destacó que las grandes empresas de tecnología </w:t>
      </w:r>
      <w:r w:rsidR="00971045">
        <w:rPr>
          <w:rFonts w:ascii="Helvetica" w:hAnsi="Helvetica" w:cs="Arial"/>
          <w:bCs/>
          <w:color w:val="000000"/>
          <w:sz w:val="20"/>
        </w:rPr>
        <w:t xml:space="preserve">-bigtech- </w:t>
      </w:r>
      <w:r w:rsidRPr="00DB14EB">
        <w:rPr>
          <w:rFonts w:ascii="Helvetica" w:hAnsi="Helvetica" w:cs="Arial"/>
          <w:bCs/>
          <w:color w:val="000000"/>
          <w:sz w:val="20"/>
        </w:rPr>
        <w:t xml:space="preserve">podrían estar desempeñando un papel clave en el futuro cercano </w:t>
      </w:r>
      <w:r w:rsidRPr="00DB14EB">
        <w:rPr>
          <w:rFonts w:ascii="Helvetica" w:hAnsi="Helvetica" w:cs="Arial"/>
          <w:bCs/>
          <w:color w:val="000000"/>
          <w:sz w:val="20"/>
        </w:rPr>
        <w:lastRenderedPageBreak/>
        <w:t>al proporcionar plataformas de pago globales potentes. Un mensaje clave sobre este tema es que las autoridades centrales deben considerar el tratamiento regulatorio más apropiado para estos desarrollos.</w:t>
      </w:r>
    </w:p>
    <w:p w:rsidR="00B763C7" w:rsidRPr="00DB14EB" w:rsidRDefault="00B11EE6" w:rsidP="002C3D9F">
      <w:pPr>
        <w:jc w:val="both"/>
        <w:rPr>
          <w:rFonts w:ascii="Helvetica" w:hAnsi="Helvetica" w:cs="Arial"/>
          <w:bCs/>
          <w:color w:val="000000"/>
          <w:sz w:val="20"/>
        </w:rPr>
      </w:pPr>
      <w:r w:rsidRPr="00DB14EB">
        <w:rPr>
          <w:rFonts w:ascii="Helvetica" w:hAnsi="Helvetica" w:cs="Arial"/>
          <w:bCs/>
          <w:color w:val="000000"/>
          <w:sz w:val="20"/>
        </w:rPr>
        <w:t xml:space="preserve">El panel ayudó a profundizar en las características de diseño, las consideraciones de política pública de CBDC de propósito general, </w:t>
      </w:r>
      <w:r w:rsidR="00971045">
        <w:rPr>
          <w:rFonts w:ascii="Helvetica" w:hAnsi="Helvetica" w:cs="Arial"/>
          <w:bCs/>
          <w:color w:val="000000"/>
          <w:sz w:val="20"/>
        </w:rPr>
        <w:t>contemplando pruebas</w:t>
      </w:r>
      <w:r w:rsidRPr="00DB14EB">
        <w:rPr>
          <w:rFonts w:ascii="Helvetica" w:hAnsi="Helvetica" w:cs="Arial"/>
          <w:bCs/>
          <w:color w:val="000000"/>
          <w:sz w:val="20"/>
        </w:rPr>
        <w:t xml:space="preserve"> </w:t>
      </w:r>
      <w:r w:rsidR="00971045">
        <w:rPr>
          <w:rFonts w:ascii="Helvetica" w:hAnsi="Helvetica" w:cs="Arial"/>
          <w:bCs/>
          <w:color w:val="000000"/>
          <w:sz w:val="20"/>
        </w:rPr>
        <w:t xml:space="preserve">más aplicadas </w:t>
      </w:r>
      <w:r w:rsidRPr="00DB14EB">
        <w:rPr>
          <w:rFonts w:ascii="Helvetica" w:hAnsi="Helvetica" w:cs="Arial"/>
          <w:bCs/>
          <w:color w:val="000000"/>
          <w:sz w:val="20"/>
        </w:rPr>
        <w:t xml:space="preserve">y análisis en los bancos centrales </w:t>
      </w:r>
      <w:r w:rsidR="00971045">
        <w:rPr>
          <w:rFonts w:ascii="Helvetica" w:hAnsi="Helvetica" w:cs="Arial"/>
          <w:bCs/>
          <w:color w:val="000000"/>
          <w:sz w:val="20"/>
        </w:rPr>
        <w:t>de la región</w:t>
      </w:r>
      <w:r w:rsidRPr="00DB14EB">
        <w:rPr>
          <w:rFonts w:ascii="Helvetica" w:hAnsi="Helvetica" w:cs="Arial"/>
          <w:bCs/>
          <w:color w:val="000000"/>
          <w:sz w:val="20"/>
        </w:rPr>
        <w:t>.</w:t>
      </w:r>
    </w:p>
    <w:p w:rsidR="00B763C7" w:rsidRPr="00DB14EB" w:rsidRDefault="00BC3AEC" w:rsidP="002C3D9F">
      <w:pPr>
        <w:jc w:val="both"/>
        <w:rPr>
          <w:rFonts w:ascii="Helvetica" w:hAnsi="Helvetica" w:cs="Arial"/>
          <w:bCs/>
          <w:color w:val="000000"/>
          <w:sz w:val="20"/>
        </w:rPr>
      </w:pPr>
      <w:r w:rsidRPr="00DB14EB">
        <w:rPr>
          <w:rFonts w:ascii="Helvetica" w:hAnsi="Helvetica" w:cs="Arial"/>
          <w:bCs/>
          <w:color w:val="000000"/>
          <w:sz w:val="20"/>
        </w:rPr>
        <w:t xml:space="preserve">De la discusión, se puede concluir que los pagos son un bien público y en ausencia de desarrollos liderados por el sector privado, un sistema </w:t>
      </w:r>
      <w:r w:rsidR="00971045">
        <w:rPr>
          <w:rFonts w:ascii="Helvetica" w:hAnsi="Helvetica" w:cs="Arial"/>
          <w:bCs/>
          <w:color w:val="000000"/>
          <w:sz w:val="20"/>
        </w:rPr>
        <w:t xml:space="preserve">de </w:t>
      </w:r>
      <w:r w:rsidRPr="00DB14EB">
        <w:rPr>
          <w:rFonts w:ascii="Helvetica" w:hAnsi="Helvetica" w:cs="Arial"/>
          <w:bCs/>
          <w:color w:val="000000"/>
          <w:sz w:val="20"/>
        </w:rPr>
        <w:t>CBDC podría ser significativo para abordar las deficiencias de acceso y competencia</w:t>
      </w:r>
      <w:r w:rsidR="00971045">
        <w:rPr>
          <w:rFonts w:ascii="Helvetica" w:hAnsi="Helvetica" w:cs="Arial"/>
          <w:bCs/>
          <w:color w:val="000000"/>
          <w:sz w:val="20"/>
        </w:rPr>
        <w:t>, por parte de los bancos centrales</w:t>
      </w:r>
      <w:r w:rsidRPr="00DB14EB">
        <w:rPr>
          <w:rFonts w:ascii="Helvetica" w:hAnsi="Helvetica" w:cs="Arial"/>
          <w:bCs/>
          <w:color w:val="000000"/>
          <w:sz w:val="20"/>
        </w:rPr>
        <w:t xml:space="preserve">. Sin embargo, también se subrayó que las </w:t>
      </w:r>
      <w:r w:rsidR="00971045">
        <w:rPr>
          <w:rFonts w:ascii="Helvetica" w:hAnsi="Helvetica" w:cs="Arial"/>
          <w:bCs/>
          <w:color w:val="000000"/>
          <w:sz w:val="20"/>
        </w:rPr>
        <w:t>implicaciones</w:t>
      </w:r>
      <w:r w:rsidRPr="00DB14EB">
        <w:rPr>
          <w:rFonts w:ascii="Helvetica" w:hAnsi="Helvetica" w:cs="Arial"/>
          <w:bCs/>
          <w:color w:val="000000"/>
          <w:sz w:val="20"/>
        </w:rPr>
        <w:t xml:space="preserve"> operativas y legales aún no </w:t>
      </w:r>
      <w:r w:rsidR="00971045">
        <w:rPr>
          <w:rFonts w:ascii="Helvetica" w:hAnsi="Helvetica" w:cs="Arial"/>
          <w:bCs/>
          <w:color w:val="000000"/>
          <w:sz w:val="20"/>
        </w:rPr>
        <w:t>están del todo entendidas</w:t>
      </w:r>
      <w:r w:rsidRPr="00DB14EB">
        <w:rPr>
          <w:rFonts w:ascii="Helvetica" w:hAnsi="Helvetica" w:cs="Arial"/>
          <w:bCs/>
          <w:color w:val="000000"/>
          <w:sz w:val="20"/>
        </w:rPr>
        <w:t xml:space="preserve">. La experimentación y el análisis adicional </w:t>
      </w:r>
      <w:r w:rsidR="00971045">
        <w:rPr>
          <w:rFonts w:ascii="Helvetica" w:hAnsi="Helvetica" w:cs="Arial"/>
          <w:bCs/>
          <w:color w:val="000000"/>
          <w:sz w:val="20"/>
        </w:rPr>
        <w:t>ayudarán a responder</w:t>
      </w:r>
      <w:r w:rsidRPr="00DB14EB">
        <w:rPr>
          <w:rFonts w:ascii="Helvetica" w:hAnsi="Helvetica" w:cs="Arial"/>
          <w:bCs/>
          <w:color w:val="000000"/>
          <w:sz w:val="20"/>
        </w:rPr>
        <w:t xml:space="preserve"> algunas preguntas de política que los bancos centrales enfrentan, como la privacidad y la gestión de datos.</w:t>
      </w:r>
    </w:p>
    <w:p w:rsidR="00E11ACE" w:rsidRPr="00DB14EB" w:rsidRDefault="00BC3AEC" w:rsidP="00E11ACE">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Taller sobre aspectos de pago para la inclusión financiera (PAFI)</w:t>
      </w:r>
    </w:p>
    <w:p w:rsidR="00E11ACE" w:rsidRPr="00DB14EB" w:rsidRDefault="00BC3AEC" w:rsidP="00E11ACE">
      <w:pPr>
        <w:jc w:val="both"/>
        <w:rPr>
          <w:rFonts w:ascii="Helvetica" w:hAnsi="Helvetica" w:cs="Arial"/>
          <w:bCs/>
          <w:color w:val="000000"/>
          <w:sz w:val="20"/>
        </w:rPr>
      </w:pPr>
      <w:r w:rsidRPr="00DB14EB">
        <w:rPr>
          <w:rFonts w:ascii="Helvetica" w:hAnsi="Helvetica" w:cs="Arial"/>
          <w:bCs/>
          <w:color w:val="000000"/>
          <w:sz w:val="20"/>
        </w:rPr>
        <w:t xml:space="preserve">Este taller fue diseñado para discutir la experiencia reciente en los bancos centrales para adoptar los Principios Rectores (GP) sobre Aspectos de Pago para la Inclusión Financiera (PAFI) y aprender de los desarrollos y orientación del Grupo de Trabajo PAFI </w:t>
      </w:r>
      <w:r w:rsidR="00971045">
        <w:rPr>
          <w:rFonts w:ascii="Helvetica" w:hAnsi="Helvetica" w:cs="Arial"/>
          <w:bCs/>
          <w:color w:val="000000"/>
          <w:sz w:val="20"/>
        </w:rPr>
        <w:t xml:space="preserve">del </w:t>
      </w:r>
      <w:r w:rsidRPr="00DB14EB">
        <w:rPr>
          <w:rFonts w:ascii="Helvetica" w:hAnsi="Helvetica" w:cs="Arial"/>
          <w:bCs/>
          <w:color w:val="000000"/>
          <w:sz w:val="20"/>
        </w:rPr>
        <w:t>CPMI-B</w:t>
      </w:r>
      <w:r w:rsidR="003B5183">
        <w:rPr>
          <w:rFonts w:ascii="Helvetica" w:hAnsi="Helvetica" w:cs="Arial"/>
          <w:bCs/>
          <w:color w:val="000000"/>
          <w:sz w:val="20"/>
        </w:rPr>
        <w:t>M</w:t>
      </w:r>
      <w:r w:rsidRPr="00DB14EB">
        <w:rPr>
          <w:rFonts w:ascii="Helvetica" w:hAnsi="Helvetica" w:cs="Arial"/>
          <w:bCs/>
          <w:color w:val="000000"/>
          <w:sz w:val="20"/>
        </w:rPr>
        <w:t xml:space="preserve">, en temas específicos de </w:t>
      </w:r>
      <w:r w:rsidR="00971045">
        <w:rPr>
          <w:rFonts w:ascii="Helvetica" w:hAnsi="Helvetica" w:cs="Arial"/>
          <w:bCs/>
          <w:color w:val="000000"/>
          <w:sz w:val="20"/>
        </w:rPr>
        <w:t>f</w:t>
      </w:r>
      <w:r w:rsidRPr="00DB14EB">
        <w:rPr>
          <w:rFonts w:ascii="Helvetica" w:hAnsi="Helvetica" w:cs="Arial"/>
          <w:bCs/>
          <w:color w:val="000000"/>
          <w:sz w:val="20"/>
        </w:rPr>
        <w:t>intech relacionados con pagos.</w:t>
      </w:r>
    </w:p>
    <w:p w:rsidR="00247CE4" w:rsidRPr="00DB14EB" w:rsidRDefault="004203DA" w:rsidP="00006630">
      <w:pPr>
        <w:jc w:val="both"/>
        <w:rPr>
          <w:rFonts w:ascii="Helvetica" w:hAnsi="Helvetica" w:cs="Helvetica"/>
          <w:bCs/>
          <w:sz w:val="20"/>
          <w:szCs w:val="20"/>
        </w:rPr>
      </w:pPr>
      <w:r w:rsidRPr="00DB14EB">
        <w:rPr>
          <w:rFonts w:ascii="Helvetica" w:hAnsi="Helvetica" w:cs="Helvetica"/>
          <w:bCs/>
          <w:sz w:val="20"/>
          <w:szCs w:val="20"/>
        </w:rPr>
        <w:t xml:space="preserve">De la experiencia mostrada en Albania, Guatemala y Paraguay, se identificaron los siguientes como los pilares más relevantes para avanzar en la inclusión financiera: 1) un mercado de pagos minoristas moderno e inclusivo, 2) infraestructuras de pago seguras y eficientes, y 3) una amplia gama de instrumentos y servicios que satisfacen las necesidades de los usuarios. En particular, los bancos centrales están trabajando para mejorar los instrumentos de pagos minoristas para proporcionar a los ciudadanos bancarizados y no bancarizados más opciones de productos de pago y puntos de </w:t>
      </w:r>
      <w:r w:rsidR="00971045">
        <w:rPr>
          <w:rFonts w:ascii="Helvetica" w:hAnsi="Helvetica" w:cs="Helvetica"/>
          <w:bCs/>
          <w:sz w:val="20"/>
          <w:szCs w:val="20"/>
        </w:rPr>
        <w:t>usabilidad</w:t>
      </w:r>
      <w:r w:rsidRPr="00DB14EB">
        <w:rPr>
          <w:rFonts w:ascii="Helvetica" w:hAnsi="Helvetica" w:cs="Helvetica"/>
          <w:bCs/>
          <w:sz w:val="20"/>
          <w:szCs w:val="20"/>
        </w:rPr>
        <w:t xml:space="preserve"> que son necesarios para sus transacciones diarias de una manera conveniente y rentable. Estos tres bancos centrales, que han comenzado a implementar los Principios Rectores de PAFI, concluyeron su participación al mencionar que será importante promover la interoperabilidad entre la solución de pagos ofrecida por los titulares y los nuevos entrantes.</w:t>
      </w:r>
    </w:p>
    <w:p w:rsidR="008E3292" w:rsidRPr="00DB14EB" w:rsidRDefault="008E3292" w:rsidP="005D7B49">
      <w:pPr>
        <w:jc w:val="both"/>
        <w:rPr>
          <w:rFonts w:ascii="Helvetica" w:hAnsi="Helvetica" w:cs="Arial"/>
          <w:bCs/>
          <w:color w:val="000000"/>
          <w:sz w:val="20"/>
        </w:rPr>
      </w:pPr>
      <w:r w:rsidRPr="00DB14EB">
        <w:rPr>
          <w:rFonts w:ascii="Helvetica" w:hAnsi="Helvetica" w:cs="Arial"/>
          <w:bCs/>
          <w:color w:val="000000"/>
          <w:sz w:val="20"/>
        </w:rPr>
        <w:t xml:space="preserve">La sesión del taller continuó con un breve informe del Grupo de trabajo PAFI. El propósito del informe fue presentar </w:t>
      </w:r>
      <w:r w:rsidR="00971045">
        <w:rPr>
          <w:rFonts w:ascii="Helvetica" w:hAnsi="Helvetica" w:cs="Arial"/>
          <w:bCs/>
          <w:color w:val="000000"/>
          <w:sz w:val="20"/>
        </w:rPr>
        <w:t>el</w:t>
      </w:r>
      <w:r w:rsidRPr="00DB14EB">
        <w:rPr>
          <w:rFonts w:ascii="Helvetica" w:hAnsi="Helvetica" w:cs="Arial"/>
          <w:bCs/>
          <w:color w:val="000000"/>
          <w:sz w:val="20"/>
        </w:rPr>
        <w:t xml:space="preserve"> trabajo adicional dirigido por este grupo internacional para ayudar a los bancos centrales en la implementación de los Principios Rectores. Se presentaron: 1) un conjunto de herramientas de orientación para aplicar el </w:t>
      </w:r>
      <w:r w:rsidR="00971045">
        <w:rPr>
          <w:rFonts w:ascii="Helvetica" w:hAnsi="Helvetica" w:cs="Arial"/>
          <w:bCs/>
          <w:color w:val="000000"/>
          <w:sz w:val="20"/>
        </w:rPr>
        <w:t xml:space="preserve">marco de </w:t>
      </w:r>
      <w:r w:rsidRPr="00DB14EB">
        <w:rPr>
          <w:rFonts w:ascii="Helvetica" w:hAnsi="Helvetica" w:cs="Arial"/>
          <w:bCs/>
          <w:color w:val="000000"/>
          <w:sz w:val="20"/>
        </w:rPr>
        <w:t xml:space="preserve">PAFI; 2) un marco de medición y otras herramientas para ayudar a los países a seguir su progreso en la mejora del acceso y uso de las cuentas de transacciones; y 3) orientación específica sobre desarrollos </w:t>
      </w:r>
      <w:r w:rsidR="008B248C">
        <w:rPr>
          <w:rFonts w:ascii="Helvetica" w:hAnsi="Helvetica" w:cs="Arial"/>
          <w:bCs/>
          <w:color w:val="000000"/>
          <w:sz w:val="20"/>
        </w:rPr>
        <w:t>f</w:t>
      </w:r>
      <w:r w:rsidR="005223C4" w:rsidRPr="00DB14EB">
        <w:rPr>
          <w:rFonts w:ascii="Helvetica" w:hAnsi="Helvetica" w:cs="Arial"/>
          <w:bCs/>
          <w:color w:val="000000"/>
          <w:sz w:val="20"/>
        </w:rPr>
        <w:t>intech</w:t>
      </w:r>
      <w:r w:rsidRPr="00DB14EB">
        <w:rPr>
          <w:rFonts w:ascii="Helvetica" w:hAnsi="Helvetica" w:cs="Arial"/>
          <w:bCs/>
          <w:color w:val="000000"/>
          <w:sz w:val="20"/>
        </w:rPr>
        <w:t xml:space="preserve"> que tienen implicaciones relevantes para los objetivos subyacentes de PAFI.</w:t>
      </w:r>
    </w:p>
    <w:p w:rsidR="005223C4" w:rsidRPr="00DB14EB" w:rsidRDefault="005223C4" w:rsidP="007C35C8">
      <w:p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Para concluir el taller, el Banco Central Europeo (BCE) y los bancos centrales de Jamaica y República Dominicana, discutieron cómo los desarrollos clave de tecnología financiera están apoyando los esfuerzos de inclusión financiera como parte de </w:t>
      </w:r>
      <w:r w:rsidR="008B248C">
        <w:rPr>
          <w:rFonts w:ascii="Helvetica" w:hAnsi="Helvetica" w:cs="Arial"/>
          <w:bCs/>
          <w:color w:val="000000"/>
          <w:sz w:val="20"/>
        </w:rPr>
        <w:t>su</w:t>
      </w:r>
      <w:r w:rsidRPr="00DB14EB">
        <w:rPr>
          <w:rFonts w:ascii="Helvetica" w:hAnsi="Helvetica" w:cs="Arial"/>
          <w:bCs/>
          <w:color w:val="000000"/>
          <w:sz w:val="20"/>
        </w:rPr>
        <w:t xml:space="preserve"> agenda </w:t>
      </w:r>
      <w:r w:rsidR="008B248C">
        <w:rPr>
          <w:rFonts w:ascii="Helvetica" w:hAnsi="Helvetica" w:cs="Arial"/>
          <w:bCs/>
          <w:color w:val="000000"/>
          <w:sz w:val="20"/>
        </w:rPr>
        <w:t>de</w:t>
      </w:r>
      <w:r w:rsidRPr="00DB14EB">
        <w:rPr>
          <w:rFonts w:ascii="Helvetica" w:hAnsi="Helvetica" w:cs="Arial"/>
          <w:bCs/>
          <w:color w:val="000000"/>
          <w:sz w:val="20"/>
        </w:rPr>
        <w:t xml:space="preserve"> pagos. Al inicio, se observó el potencial para transformar la provisión de servicios financieros, estimulando el desarrollo de nuevos modelos de negocios, aplicaciones, procesos y productos, dadas las nuevas tecnologías aplicadas a productos financieros y de pago. Por ejemplo, </w:t>
      </w:r>
      <w:r w:rsidR="008B248C">
        <w:rPr>
          <w:rFonts w:ascii="Helvetica" w:hAnsi="Helvetica" w:cs="Arial"/>
          <w:bCs/>
          <w:color w:val="000000"/>
          <w:sz w:val="20"/>
        </w:rPr>
        <w:t>f</w:t>
      </w:r>
      <w:r w:rsidRPr="00DB14EB">
        <w:rPr>
          <w:rFonts w:ascii="Helvetica" w:hAnsi="Helvetica" w:cs="Arial"/>
          <w:bCs/>
          <w:color w:val="000000"/>
          <w:sz w:val="20"/>
        </w:rPr>
        <w:t xml:space="preserve">intech podría usarse para fomentar el financiamiento mientras </w:t>
      </w:r>
      <w:r w:rsidR="008B248C">
        <w:rPr>
          <w:rFonts w:ascii="Helvetica" w:hAnsi="Helvetica" w:cs="Arial"/>
          <w:bCs/>
          <w:color w:val="000000"/>
          <w:sz w:val="20"/>
        </w:rPr>
        <w:t>de</w:t>
      </w:r>
      <w:r w:rsidRPr="00DB14EB">
        <w:rPr>
          <w:rFonts w:ascii="Helvetica" w:hAnsi="Helvetica" w:cs="Arial"/>
          <w:bCs/>
          <w:color w:val="000000"/>
          <w:sz w:val="20"/>
        </w:rPr>
        <w:t xml:space="preserve"> servicio</w:t>
      </w:r>
      <w:r w:rsidR="008B248C">
        <w:rPr>
          <w:rFonts w:ascii="Helvetica" w:hAnsi="Helvetica" w:cs="Arial"/>
          <w:bCs/>
          <w:color w:val="000000"/>
          <w:sz w:val="20"/>
        </w:rPr>
        <w:t>s</w:t>
      </w:r>
      <w:r w:rsidRPr="00DB14EB">
        <w:rPr>
          <w:rFonts w:ascii="Helvetica" w:hAnsi="Helvetica" w:cs="Arial"/>
          <w:bCs/>
          <w:color w:val="000000"/>
          <w:sz w:val="20"/>
        </w:rPr>
        <w:t xml:space="preserve"> de pago, todo a la vez.</w:t>
      </w:r>
    </w:p>
    <w:p w:rsidR="005223C4" w:rsidRPr="00DB14EB" w:rsidRDefault="005223C4" w:rsidP="00B17792">
      <w:pPr>
        <w:jc w:val="both"/>
        <w:rPr>
          <w:rFonts w:ascii="Helvetica" w:hAnsi="Helvetica" w:cs="Arial"/>
          <w:bCs/>
          <w:color w:val="000000"/>
          <w:sz w:val="20"/>
        </w:rPr>
      </w:pPr>
      <w:r w:rsidRPr="00DB14EB">
        <w:rPr>
          <w:rFonts w:ascii="Helvetica" w:hAnsi="Helvetica" w:cs="Arial"/>
          <w:bCs/>
          <w:color w:val="000000"/>
          <w:sz w:val="20"/>
        </w:rPr>
        <w:t xml:space="preserve">Con las presentaciones anteriores, se concluyó que la regulación de pagos es un aspecto que requerirá más trabajo para garantizar que los nuevos productos y modelos </w:t>
      </w:r>
      <w:r w:rsidR="008B248C">
        <w:rPr>
          <w:rFonts w:ascii="Helvetica" w:hAnsi="Helvetica" w:cs="Arial"/>
          <w:bCs/>
          <w:color w:val="000000"/>
          <w:sz w:val="20"/>
        </w:rPr>
        <w:t>de negocio</w:t>
      </w:r>
      <w:r w:rsidRPr="00DB14EB">
        <w:rPr>
          <w:rFonts w:ascii="Helvetica" w:hAnsi="Helvetica" w:cs="Arial"/>
          <w:bCs/>
          <w:color w:val="000000"/>
          <w:sz w:val="20"/>
        </w:rPr>
        <w:t xml:space="preserve"> sean confiables para la integridad de los usuarios. Finalmente, algunas de las medidas de éxito que estos bancos centrales han considerado relevantes para apoyar la inclusión financiera a través de pagos </w:t>
      </w:r>
      <w:r w:rsidR="008B248C">
        <w:rPr>
          <w:rFonts w:ascii="Helvetica" w:hAnsi="Helvetica" w:cs="Arial"/>
          <w:bCs/>
          <w:color w:val="000000"/>
          <w:sz w:val="20"/>
        </w:rPr>
        <w:lastRenderedPageBreak/>
        <w:t>f</w:t>
      </w:r>
      <w:r w:rsidR="00985FF0" w:rsidRPr="00DB14EB">
        <w:rPr>
          <w:rFonts w:ascii="Helvetica" w:hAnsi="Helvetica" w:cs="Arial"/>
          <w:bCs/>
          <w:color w:val="000000"/>
          <w:sz w:val="20"/>
        </w:rPr>
        <w:t>intech</w:t>
      </w:r>
      <w:r w:rsidRPr="00DB14EB">
        <w:rPr>
          <w:rFonts w:ascii="Helvetica" w:hAnsi="Helvetica" w:cs="Arial"/>
          <w:bCs/>
          <w:color w:val="000000"/>
          <w:sz w:val="20"/>
        </w:rPr>
        <w:t xml:space="preserve"> son: la colaboración de los nuevos operadores entrantes;</w:t>
      </w:r>
      <w:r w:rsidR="008B248C">
        <w:rPr>
          <w:rFonts w:ascii="Helvetica" w:hAnsi="Helvetica" w:cs="Arial"/>
          <w:bCs/>
          <w:color w:val="000000"/>
          <w:sz w:val="20"/>
        </w:rPr>
        <w:t xml:space="preserve"> el</w:t>
      </w:r>
      <w:r w:rsidRPr="00DB14EB">
        <w:rPr>
          <w:rFonts w:ascii="Helvetica" w:hAnsi="Helvetica" w:cs="Arial"/>
          <w:bCs/>
          <w:color w:val="000000"/>
          <w:sz w:val="20"/>
        </w:rPr>
        <w:t xml:space="preserve"> </w:t>
      </w:r>
      <w:r w:rsidR="00985FF0" w:rsidRPr="00DB14EB">
        <w:rPr>
          <w:rFonts w:ascii="Helvetica" w:hAnsi="Helvetica" w:cs="Arial"/>
          <w:bCs/>
          <w:color w:val="000000"/>
          <w:sz w:val="20"/>
        </w:rPr>
        <w:t>sandbox</w:t>
      </w:r>
      <w:r w:rsidRPr="00DB14EB">
        <w:rPr>
          <w:rFonts w:ascii="Helvetica" w:hAnsi="Helvetica" w:cs="Arial"/>
          <w:bCs/>
          <w:color w:val="000000"/>
          <w:sz w:val="20"/>
        </w:rPr>
        <w:t xml:space="preserve"> y herramientas reguladoras relacionadas; un marco de protección del consumidor; y un marco de interoperabilidad mejorado para que la industria aproveche las nuevas tecnologías.</w:t>
      </w:r>
    </w:p>
    <w:p w:rsidR="008F20FE" w:rsidRPr="00DB14EB" w:rsidRDefault="008F20FE" w:rsidP="008F20FE">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Sesi</w:t>
      </w:r>
      <w:r w:rsidR="00985FF0" w:rsidRPr="00DB14EB">
        <w:rPr>
          <w:rFonts w:ascii="Helvetica" w:hAnsi="Helvetica" w:cs="Arial"/>
          <w:b/>
          <w:i/>
          <w:iCs/>
          <w:color w:val="000000"/>
          <w:sz w:val="20"/>
        </w:rPr>
        <w:t>ó</w:t>
      </w:r>
      <w:r w:rsidRPr="00DB14EB">
        <w:rPr>
          <w:rFonts w:ascii="Helvetica" w:hAnsi="Helvetica" w:cs="Arial"/>
          <w:b/>
          <w:i/>
          <w:iCs/>
          <w:color w:val="000000"/>
          <w:sz w:val="20"/>
        </w:rPr>
        <w:t xml:space="preserve">n </w:t>
      </w:r>
      <w:r w:rsidR="00000BC0" w:rsidRPr="00DB14EB">
        <w:rPr>
          <w:rFonts w:ascii="Helvetica" w:hAnsi="Helvetica" w:cs="Arial"/>
          <w:b/>
          <w:i/>
          <w:iCs/>
          <w:color w:val="000000"/>
          <w:sz w:val="20"/>
        </w:rPr>
        <w:t>2</w:t>
      </w:r>
      <w:r w:rsidRPr="00DB14EB">
        <w:rPr>
          <w:rFonts w:ascii="Helvetica" w:hAnsi="Helvetica" w:cs="Arial"/>
          <w:b/>
          <w:i/>
          <w:iCs/>
          <w:color w:val="000000"/>
          <w:sz w:val="20"/>
        </w:rPr>
        <w:t xml:space="preserve">. </w:t>
      </w:r>
      <w:bookmarkStart w:id="3" w:name="_Hlk22553470"/>
      <w:r w:rsidR="00985FF0" w:rsidRPr="00DB14EB">
        <w:rPr>
          <w:rFonts w:ascii="Helvetica" w:hAnsi="Helvetica" w:cs="Arial"/>
          <w:b/>
          <w:i/>
          <w:iCs/>
          <w:color w:val="000000"/>
          <w:sz w:val="20"/>
        </w:rPr>
        <w:t>Desarrollo de infraestructuras de pago y mercado</w:t>
      </w:r>
      <w:r w:rsidRPr="00DB14EB">
        <w:rPr>
          <w:rFonts w:ascii="Helvetica" w:hAnsi="Helvetica" w:cs="Arial"/>
          <w:b/>
          <w:i/>
          <w:iCs/>
          <w:color w:val="000000"/>
          <w:sz w:val="20"/>
        </w:rPr>
        <w:t xml:space="preserve"> </w:t>
      </w:r>
    </w:p>
    <w:p w:rsidR="008F20FE" w:rsidRPr="00DB14EB" w:rsidRDefault="00BA1D75" w:rsidP="008F20FE">
      <w:pPr>
        <w:spacing w:after="120"/>
        <w:jc w:val="both"/>
        <w:rPr>
          <w:rFonts w:ascii="Helvetica" w:hAnsi="Helvetica" w:cs="Arial"/>
          <w:bCs/>
          <w:color w:val="000000"/>
          <w:sz w:val="20"/>
        </w:rPr>
      </w:pPr>
      <w:r w:rsidRPr="00DB14EB">
        <w:rPr>
          <w:rFonts w:ascii="Helvetica" w:hAnsi="Helvetica" w:cs="Arial"/>
          <w:bCs/>
          <w:color w:val="000000"/>
          <w:sz w:val="20"/>
        </w:rPr>
        <w:t xml:space="preserve">Esta sesión fue </w:t>
      </w:r>
      <w:r w:rsidR="008B248C">
        <w:rPr>
          <w:rFonts w:ascii="Helvetica" w:hAnsi="Helvetica" w:cs="Arial"/>
          <w:bCs/>
          <w:color w:val="000000"/>
          <w:sz w:val="20"/>
        </w:rPr>
        <w:t>compartida</w:t>
      </w:r>
      <w:r w:rsidRPr="00DB14EB">
        <w:rPr>
          <w:rFonts w:ascii="Helvetica" w:hAnsi="Helvetica" w:cs="Arial"/>
          <w:bCs/>
          <w:color w:val="000000"/>
          <w:sz w:val="20"/>
        </w:rPr>
        <w:t xml:space="preserve"> por el Banco de la Reserva de India, la Comunidad de Desarrollo del África Meridional / Banco de la Reserva de Sudáfrica, el Banco Central Europeo y los bancos centrales de Aruba, Brasil y Curazao y S</w:t>
      </w:r>
      <w:r w:rsidR="006E69D9">
        <w:rPr>
          <w:rFonts w:ascii="Helvetica" w:hAnsi="Helvetica" w:cs="Arial"/>
          <w:bCs/>
          <w:color w:val="000000"/>
          <w:sz w:val="20"/>
        </w:rPr>
        <w:t>an</w:t>
      </w:r>
      <w:r w:rsidRPr="00DB14EB">
        <w:rPr>
          <w:rFonts w:ascii="Helvetica" w:hAnsi="Helvetica" w:cs="Arial"/>
          <w:bCs/>
          <w:color w:val="000000"/>
          <w:sz w:val="20"/>
        </w:rPr>
        <w:t xml:space="preserve"> Mart</w:t>
      </w:r>
      <w:r w:rsidR="006E69D9">
        <w:rPr>
          <w:rFonts w:ascii="Helvetica" w:hAnsi="Helvetica" w:cs="Arial"/>
          <w:bCs/>
          <w:color w:val="000000"/>
          <w:sz w:val="20"/>
        </w:rPr>
        <w:t>ín</w:t>
      </w:r>
      <w:r w:rsidRPr="00DB14EB">
        <w:rPr>
          <w:rFonts w:ascii="Helvetica" w:hAnsi="Helvetica" w:cs="Arial"/>
          <w:bCs/>
          <w:color w:val="000000"/>
          <w:sz w:val="20"/>
        </w:rPr>
        <w:t xml:space="preserve">. </w:t>
      </w:r>
    </w:p>
    <w:p w:rsidR="008F20FE" w:rsidRPr="00DB14EB" w:rsidRDefault="00BA1D75" w:rsidP="00A753BF">
      <w:pPr>
        <w:spacing w:after="120"/>
        <w:jc w:val="both"/>
        <w:rPr>
          <w:rFonts w:ascii="Helvetica" w:hAnsi="Helvetica" w:cs="Arial"/>
          <w:bCs/>
          <w:color w:val="000000"/>
          <w:sz w:val="20"/>
        </w:rPr>
      </w:pPr>
      <w:r w:rsidRPr="00DB14EB">
        <w:rPr>
          <w:rFonts w:ascii="Helvetica" w:hAnsi="Helvetica" w:cs="Arial"/>
          <w:bCs/>
          <w:color w:val="000000"/>
          <w:sz w:val="20"/>
        </w:rPr>
        <w:t>Los panelistas presentaron su agenda actual en pagos e infraestructuras de mercado, que van desde la modernización de RTGS, actualizaciones en el marco de regulación y supervisión, entre otros desarrollos importantes.</w:t>
      </w:r>
      <w:r w:rsidR="00E41D39" w:rsidRPr="00DB14EB">
        <w:rPr>
          <w:rFonts w:ascii="Helvetica" w:hAnsi="Helvetica" w:cs="Arial"/>
          <w:bCs/>
          <w:color w:val="000000"/>
          <w:sz w:val="20"/>
        </w:rPr>
        <w:t xml:space="preserve"> </w:t>
      </w:r>
    </w:p>
    <w:p w:rsidR="00B26BBA" w:rsidRPr="00DB14EB" w:rsidRDefault="00BA1D75" w:rsidP="00E70217">
      <w:pPr>
        <w:spacing w:after="120" w:line="240" w:lineRule="auto"/>
        <w:jc w:val="both"/>
        <w:rPr>
          <w:rFonts w:ascii="Helvetica" w:hAnsi="Helvetica" w:cs="Arial"/>
          <w:bCs/>
          <w:color w:val="000000"/>
          <w:sz w:val="20"/>
        </w:rPr>
      </w:pPr>
      <w:r w:rsidRPr="00DB14EB">
        <w:rPr>
          <w:rFonts w:ascii="Helvetica" w:hAnsi="Helvetica" w:cs="Arial"/>
          <w:bCs/>
          <w:color w:val="000000"/>
          <w:sz w:val="20"/>
        </w:rPr>
        <w:t>Algunos conductores comunes que los panelistas mencionaron durante la sesión fueron:</w:t>
      </w:r>
    </w:p>
    <w:p w:rsidR="00BA1D75" w:rsidRPr="00DB14EB" w:rsidRDefault="00BA1D75" w:rsidP="00BA1D75">
      <w:pPr>
        <w:pStyle w:val="Prrafodelista"/>
        <w:numPr>
          <w:ilvl w:val="0"/>
          <w:numId w:val="16"/>
        </w:numPr>
        <w:spacing w:after="120" w:line="240" w:lineRule="auto"/>
        <w:jc w:val="both"/>
        <w:rPr>
          <w:rFonts w:ascii="Helvetica" w:hAnsi="Helvetica" w:cs="Arial"/>
          <w:bCs/>
          <w:color w:val="000000"/>
          <w:sz w:val="20"/>
        </w:rPr>
      </w:pPr>
      <w:r w:rsidRPr="00DB14EB">
        <w:rPr>
          <w:rFonts w:ascii="Helvetica" w:hAnsi="Helvetica" w:cs="Arial"/>
          <w:bCs/>
          <w:color w:val="000000"/>
          <w:sz w:val="20"/>
        </w:rPr>
        <w:t>Apoyar los esfuerzos de inclusión financiera,</w:t>
      </w:r>
    </w:p>
    <w:p w:rsidR="00BA1D75" w:rsidRPr="00DB14EB" w:rsidRDefault="00BA1D75" w:rsidP="00BA1D75">
      <w:pPr>
        <w:pStyle w:val="Prrafodelista"/>
        <w:numPr>
          <w:ilvl w:val="0"/>
          <w:numId w:val="16"/>
        </w:numPr>
        <w:spacing w:after="120" w:line="240" w:lineRule="auto"/>
        <w:jc w:val="both"/>
        <w:rPr>
          <w:rFonts w:ascii="Helvetica" w:hAnsi="Helvetica" w:cs="Arial"/>
          <w:bCs/>
          <w:color w:val="000000"/>
          <w:sz w:val="20"/>
        </w:rPr>
      </w:pPr>
      <w:r w:rsidRPr="00DB14EB">
        <w:rPr>
          <w:rFonts w:ascii="Helvetica" w:hAnsi="Helvetica" w:cs="Arial"/>
          <w:bCs/>
          <w:color w:val="000000"/>
          <w:sz w:val="20"/>
        </w:rPr>
        <w:t>Promover menos efectivo en la economía,</w:t>
      </w:r>
    </w:p>
    <w:p w:rsidR="00BA1D75" w:rsidRPr="00DB14EB" w:rsidRDefault="00BA1D75" w:rsidP="00BA1D75">
      <w:pPr>
        <w:pStyle w:val="Prrafodelista"/>
        <w:numPr>
          <w:ilvl w:val="0"/>
          <w:numId w:val="16"/>
        </w:numPr>
        <w:spacing w:after="120" w:line="240" w:lineRule="auto"/>
        <w:jc w:val="both"/>
        <w:rPr>
          <w:rFonts w:ascii="Helvetica" w:hAnsi="Helvetica" w:cs="Arial"/>
          <w:bCs/>
          <w:color w:val="000000"/>
          <w:sz w:val="20"/>
        </w:rPr>
      </w:pPr>
      <w:r w:rsidRPr="00DB14EB">
        <w:rPr>
          <w:rFonts w:ascii="Helvetica" w:hAnsi="Helvetica" w:cs="Arial"/>
          <w:bCs/>
          <w:color w:val="000000"/>
          <w:sz w:val="20"/>
        </w:rPr>
        <w:t>Satisfacer las necesidades de pagos más rápidos,</w:t>
      </w:r>
    </w:p>
    <w:p w:rsidR="00BA1D75" w:rsidRPr="00DB14EB" w:rsidRDefault="00BA1D75" w:rsidP="00BA1D75">
      <w:pPr>
        <w:pStyle w:val="Prrafodelista"/>
        <w:numPr>
          <w:ilvl w:val="0"/>
          <w:numId w:val="16"/>
        </w:num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Abordar las brechas de interoperabilidad, </w:t>
      </w:r>
      <w:r w:rsidR="008B248C">
        <w:rPr>
          <w:rFonts w:ascii="Helvetica" w:hAnsi="Helvetica" w:cs="Arial"/>
          <w:bCs/>
          <w:color w:val="000000"/>
          <w:sz w:val="20"/>
        </w:rPr>
        <w:t>e</w:t>
      </w:r>
    </w:p>
    <w:p w:rsidR="00BA1D75" w:rsidRPr="00DB14EB" w:rsidRDefault="00BA1D75" w:rsidP="00BA1D75">
      <w:pPr>
        <w:pStyle w:val="Prrafodelista"/>
        <w:numPr>
          <w:ilvl w:val="0"/>
          <w:numId w:val="16"/>
        </w:numPr>
        <w:spacing w:after="120" w:line="240" w:lineRule="auto"/>
        <w:jc w:val="both"/>
        <w:rPr>
          <w:rFonts w:ascii="Helvetica" w:hAnsi="Helvetica" w:cs="Arial"/>
          <w:bCs/>
          <w:color w:val="000000"/>
          <w:sz w:val="20"/>
        </w:rPr>
      </w:pPr>
      <w:r w:rsidRPr="00DB14EB">
        <w:rPr>
          <w:rFonts w:ascii="Helvetica" w:hAnsi="Helvetica" w:cs="Arial"/>
          <w:bCs/>
          <w:color w:val="000000"/>
          <w:sz w:val="20"/>
        </w:rPr>
        <w:t>Integración de los pagos del gobierno.</w:t>
      </w:r>
    </w:p>
    <w:p w:rsidR="008F20FE" w:rsidRPr="00DB14EB" w:rsidRDefault="00105810" w:rsidP="00E70217">
      <w:p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Con esta visión, los bancos centrales discutieron cómo habilitar ese panorama. Si bien el enfoque adoptado por cada banco central puede diferir, se pueden subrayar las siguientes estrategias: mejorar la experiencia del cliente, empoderar a los proveedores y operadores de sistemas de pago, desarrollar la infraestructura requerida, establecer una regulación prospectiva y realizar un marco de supervisión basado en el riesgo. En muchas de las experiencias de los países presentadas en esta sesión, el esquema de pagos </w:t>
      </w:r>
      <w:r w:rsidR="008B248C">
        <w:rPr>
          <w:rFonts w:ascii="Helvetica" w:hAnsi="Helvetica" w:cs="Arial"/>
          <w:bCs/>
          <w:color w:val="000000"/>
          <w:sz w:val="20"/>
        </w:rPr>
        <w:t>inmediatos</w:t>
      </w:r>
      <w:r w:rsidRPr="00DB14EB">
        <w:rPr>
          <w:rFonts w:ascii="Helvetica" w:hAnsi="Helvetica" w:cs="Arial"/>
          <w:bCs/>
          <w:color w:val="000000"/>
          <w:sz w:val="20"/>
        </w:rPr>
        <w:t xml:space="preserve"> habilitado por RTGS (la infraestructura de los bancos centrales) se identificó como un factor común</w:t>
      </w:r>
      <w:r w:rsidR="00B26BBA" w:rsidRPr="00DB14EB">
        <w:rPr>
          <w:rFonts w:ascii="Helvetica" w:hAnsi="Helvetica" w:cs="Arial"/>
          <w:bCs/>
          <w:color w:val="000000"/>
          <w:sz w:val="20"/>
        </w:rPr>
        <w:t>.</w:t>
      </w:r>
    </w:p>
    <w:p w:rsidR="00FB21F6" w:rsidRPr="00DB14EB" w:rsidRDefault="00494626" w:rsidP="00B26BBA">
      <w:p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Los bancos centrales explicaron que los pagos </w:t>
      </w:r>
      <w:r w:rsidR="008B248C">
        <w:rPr>
          <w:rFonts w:ascii="Helvetica" w:hAnsi="Helvetica" w:cs="Arial"/>
          <w:bCs/>
          <w:color w:val="000000"/>
          <w:sz w:val="20"/>
        </w:rPr>
        <w:t>inmediatos</w:t>
      </w:r>
      <w:r w:rsidRPr="00DB14EB">
        <w:rPr>
          <w:rFonts w:ascii="Helvetica" w:hAnsi="Helvetica" w:cs="Arial"/>
          <w:bCs/>
          <w:color w:val="000000"/>
          <w:sz w:val="20"/>
        </w:rPr>
        <w:t xml:space="preserve"> (minoristas) a través de RTGS tienen el potencial de generar beneficios para los usuarios finales, los participantes de la industria y la sociedad, y al mismo tiempo crear las condiciones para una implementación y adopción adecuada, con la participación de las partes interesadas más </w:t>
      </w:r>
      <w:r w:rsidR="00830BF7" w:rsidRPr="00DB14EB">
        <w:rPr>
          <w:rFonts w:ascii="Helvetica" w:hAnsi="Helvetica" w:cs="Arial"/>
          <w:bCs/>
          <w:color w:val="000000"/>
          <w:sz w:val="20"/>
        </w:rPr>
        <w:t>relevantes.</w:t>
      </w:r>
      <w:r w:rsidRPr="00DB14EB">
        <w:rPr>
          <w:rFonts w:ascii="Helvetica" w:hAnsi="Helvetica" w:cs="Arial"/>
          <w:bCs/>
          <w:color w:val="000000"/>
          <w:sz w:val="20"/>
        </w:rPr>
        <w:t xml:space="preserve"> Además, todos los bancos centrales acordaron que la implementación de pagos </w:t>
      </w:r>
      <w:r w:rsidR="008B248C">
        <w:rPr>
          <w:rFonts w:ascii="Helvetica" w:hAnsi="Helvetica" w:cs="Arial"/>
          <w:bCs/>
          <w:color w:val="000000"/>
          <w:sz w:val="20"/>
        </w:rPr>
        <w:t>inmediatos</w:t>
      </w:r>
      <w:r w:rsidRPr="00DB14EB">
        <w:rPr>
          <w:rFonts w:ascii="Helvetica" w:hAnsi="Helvetica" w:cs="Arial"/>
          <w:bCs/>
          <w:color w:val="000000"/>
          <w:sz w:val="20"/>
        </w:rPr>
        <w:t xml:space="preserve"> podría reflejar el uso de nuevas tecnologías para materializar los desarrollos del mercado, como el uso ampliado de tecnologías móviles para satisfacer las necesidades de velocidad y conveniencia de los usuarios. Del mismo modo, , los bancos centrales estarían fomentando una visión global de mejorar y modernizar la infraestructura del mercado financiero de una jurisdicción.</w:t>
      </w:r>
    </w:p>
    <w:p w:rsidR="005E6B0F" w:rsidRPr="00DB14EB" w:rsidRDefault="00517395" w:rsidP="00B26BBA">
      <w:p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Con respecto a las acciones específicas relacionadas con la implementación de un esquema de pagos </w:t>
      </w:r>
      <w:r w:rsidR="008B248C">
        <w:rPr>
          <w:rFonts w:ascii="Helvetica" w:hAnsi="Helvetica" w:cs="Arial"/>
          <w:bCs/>
          <w:color w:val="000000"/>
          <w:sz w:val="20"/>
        </w:rPr>
        <w:t>inmediatos</w:t>
      </w:r>
      <w:r w:rsidRPr="00DB14EB">
        <w:rPr>
          <w:rFonts w:ascii="Helvetica" w:hAnsi="Helvetica" w:cs="Arial"/>
          <w:bCs/>
          <w:color w:val="000000"/>
          <w:sz w:val="20"/>
        </w:rPr>
        <w:t xml:space="preserve">, los bancos centrales acordaron que los siguientes </w:t>
      </w:r>
      <w:r w:rsidR="008B248C">
        <w:rPr>
          <w:rFonts w:ascii="Helvetica" w:hAnsi="Helvetica" w:cs="Arial"/>
          <w:bCs/>
          <w:color w:val="000000"/>
          <w:sz w:val="20"/>
        </w:rPr>
        <w:t>son</w:t>
      </w:r>
      <w:r w:rsidRPr="00DB14EB">
        <w:rPr>
          <w:rFonts w:ascii="Helvetica" w:hAnsi="Helvetica" w:cs="Arial"/>
          <w:bCs/>
          <w:color w:val="000000"/>
          <w:sz w:val="20"/>
        </w:rPr>
        <w:t xml:space="preserve"> aspectos a tener en cuenta: operación escalable, confiable y de bajo costo </w:t>
      </w:r>
      <w:r w:rsidR="008B248C">
        <w:rPr>
          <w:rFonts w:ascii="Helvetica" w:hAnsi="Helvetica" w:cs="Arial"/>
          <w:bCs/>
          <w:color w:val="000000"/>
          <w:sz w:val="20"/>
        </w:rPr>
        <w:t>a partir del</w:t>
      </w:r>
      <w:r w:rsidRPr="00DB14EB">
        <w:rPr>
          <w:rFonts w:ascii="Helvetica" w:hAnsi="Helvetica" w:cs="Arial"/>
          <w:bCs/>
          <w:color w:val="000000"/>
          <w:sz w:val="20"/>
        </w:rPr>
        <w:t xml:space="preserve"> RTGS</w:t>
      </w:r>
      <w:r w:rsidR="008B248C">
        <w:rPr>
          <w:rFonts w:ascii="Helvetica" w:hAnsi="Helvetica" w:cs="Arial"/>
          <w:bCs/>
          <w:color w:val="000000"/>
          <w:sz w:val="20"/>
        </w:rPr>
        <w:t>;</w:t>
      </w:r>
      <w:r w:rsidRPr="00DB14EB">
        <w:rPr>
          <w:rFonts w:ascii="Helvetica" w:hAnsi="Helvetica" w:cs="Arial"/>
          <w:bCs/>
          <w:color w:val="000000"/>
          <w:sz w:val="20"/>
        </w:rPr>
        <w:t xml:space="preserve"> capacidad operativa para manejar transacciones de nuevos participantes (instituciones de pago)</w:t>
      </w:r>
      <w:r w:rsidR="008B248C">
        <w:rPr>
          <w:rFonts w:ascii="Helvetica" w:hAnsi="Helvetica" w:cs="Arial"/>
          <w:bCs/>
          <w:color w:val="000000"/>
          <w:sz w:val="20"/>
        </w:rPr>
        <w:t>;</w:t>
      </w:r>
      <w:r w:rsidRPr="00DB14EB">
        <w:rPr>
          <w:rFonts w:ascii="Helvetica" w:hAnsi="Helvetica" w:cs="Arial"/>
          <w:bCs/>
          <w:color w:val="000000"/>
          <w:sz w:val="20"/>
        </w:rPr>
        <w:t xml:space="preserve"> y</w:t>
      </w:r>
      <w:r w:rsidR="008B248C">
        <w:rPr>
          <w:rFonts w:ascii="Helvetica" w:hAnsi="Helvetica" w:cs="Arial"/>
          <w:bCs/>
          <w:color w:val="000000"/>
          <w:sz w:val="20"/>
        </w:rPr>
        <w:t>,</w:t>
      </w:r>
      <w:r w:rsidRPr="00DB14EB">
        <w:rPr>
          <w:rFonts w:ascii="Helvetica" w:hAnsi="Helvetica" w:cs="Arial"/>
          <w:bCs/>
          <w:color w:val="000000"/>
          <w:sz w:val="20"/>
        </w:rPr>
        <w:t xml:space="preserve"> reglas de accesibilidad adecuadas para garantizar que todos los participantes y operadores del sistema de pago encajen en el esquema.</w:t>
      </w:r>
    </w:p>
    <w:p w:rsidR="00B26BBA" w:rsidRPr="00DB14EB" w:rsidRDefault="00D16EBD" w:rsidP="00B26BBA">
      <w:pPr>
        <w:spacing w:after="120" w:line="240" w:lineRule="auto"/>
        <w:jc w:val="both"/>
        <w:rPr>
          <w:rFonts w:ascii="Helvetica" w:hAnsi="Helvetica" w:cs="Arial"/>
          <w:bCs/>
          <w:color w:val="000000"/>
          <w:sz w:val="20"/>
        </w:rPr>
      </w:pPr>
      <w:r w:rsidRPr="00DB14EB">
        <w:rPr>
          <w:rFonts w:ascii="Helvetica" w:hAnsi="Helvetica" w:cs="Arial"/>
          <w:bCs/>
          <w:color w:val="000000"/>
          <w:sz w:val="20"/>
        </w:rPr>
        <w:t>Para concluir, los bancos centrales identificaron algunas preguntas importantes que deben abordarse al trabajar hacia la modernización de la infraestructura del mercado financiero nacional. Estas preguntas están relacionadas con: 1) cómo garantizar la coordinación del esfuerzo general de las diferentes partes interesadas, 2) cómo proporcionar los incentivos correctos para que la industria adopte un enfoque estratégico a largo plazo, y 3) cómo encontrar el correcto balance de intervención pública.</w:t>
      </w:r>
    </w:p>
    <w:p w:rsidR="009B542E" w:rsidRPr="00DB14EB" w:rsidRDefault="009B542E" w:rsidP="000D6AD3">
      <w:pPr>
        <w:spacing w:after="120" w:line="240" w:lineRule="auto"/>
        <w:jc w:val="both"/>
        <w:rPr>
          <w:rFonts w:ascii="Helvetica" w:hAnsi="Helvetica" w:cs="Arial"/>
          <w:bCs/>
          <w:color w:val="000000"/>
          <w:sz w:val="20"/>
        </w:rPr>
      </w:pPr>
    </w:p>
    <w:p w:rsidR="00207A73" w:rsidRPr="00DB14EB" w:rsidRDefault="00207A73" w:rsidP="000D6AD3">
      <w:pPr>
        <w:spacing w:after="120" w:line="240" w:lineRule="auto"/>
        <w:jc w:val="both"/>
        <w:rPr>
          <w:rFonts w:ascii="Helvetica" w:hAnsi="Helvetica" w:cs="Arial"/>
          <w:bCs/>
          <w:color w:val="000000"/>
          <w:sz w:val="20"/>
        </w:rPr>
      </w:pPr>
    </w:p>
    <w:bookmarkEnd w:id="3"/>
    <w:p w:rsidR="008F20FE" w:rsidRPr="00DB14EB" w:rsidRDefault="00207A73" w:rsidP="007C6CCE">
      <w:pPr>
        <w:rPr>
          <w:rFonts w:ascii="Helvetica" w:hAnsi="Helvetica" w:cs="Arial"/>
          <w:b/>
          <w:i/>
          <w:iCs/>
          <w:color w:val="000000"/>
          <w:sz w:val="20"/>
        </w:rPr>
      </w:pPr>
      <w:r w:rsidRPr="00DB14EB">
        <w:rPr>
          <w:rFonts w:ascii="Helvetica" w:hAnsi="Helvetica" w:cs="Arial"/>
          <w:b/>
          <w:i/>
          <w:iCs/>
          <w:color w:val="000000"/>
          <w:sz w:val="20"/>
        </w:rPr>
        <w:lastRenderedPageBreak/>
        <w:t>Sesión 3. Operacionalización de la estrategia de CPMI para la seguridad de pagos mayoristas</w:t>
      </w:r>
    </w:p>
    <w:p w:rsidR="005E6B0F" w:rsidRPr="00DB14EB" w:rsidRDefault="00207A73" w:rsidP="007B3DCB">
      <w:pPr>
        <w:jc w:val="both"/>
        <w:rPr>
          <w:rFonts w:ascii="Helvetica" w:hAnsi="Helvetica" w:cs="Arial"/>
          <w:bCs/>
          <w:color w:val="000000"/>
          <w:sz w:val="20"/>
        </w:rPr>
      </w:pPr>
      <w:r w:rsidRPr="00DB14EB">
        <w:rPr>
          <w:rFonts w:ascii="Helvetica" w:hAnsi="Helvetica" w:cs="Arial"/>
          <w:bCs/>
          <w:color w:val="000000"/>
          <w:sz w:val="20"/>
        </w:rPr>
        <w:t>Esta sesión fue presidida por la Secretaría de CPMI y el panel de presentaciones incluyó a los bancos centrales de República Dominicana, los Países Bajos, y una presentación de</w:t>
      </w:r>
      <w:r w:rsidR="008B248C">
        <w:rPr>
          <w:rFonts w:ascii="Helvetica" w:hAnsi="Helvetica" w:cs="Arial"/>
          <w:bCs/>
          <w:color w:val="000000"/>
          <w:sz w:val="20"/>
        </w:rPr>
        <w:t>l</w:t>
      </w:r>
      <w:r w:rsidRPr="00DB14EB">
        <w:rPr>
          <w:rFonts w:ascii="Helvetica" w:hAnsi="Helvetica" w:cs="Arial"/>
          <w:bCs/>
          <w:color w:val="000000"/>
          <w:sz w:val="20"/>
        </w:rPr>
        <w:t xml:space="preserve"> CEMLA sobre desarrollos regionales.</w:t>
      </w:r>
    </w:p>
    <w:p w:rsidR="007B3DCB" w:rsidRPr="00DB14EB" w:rsidRDefault="00207A73" w:rsidP="007B3DCB">
      <w:pPr>
        <w:jc w:val="both"/>
        <w:rPr>
          <w:rFonts w:ascii="Helvetica" w:hAnsi="Helvetica" w:cs="Arial"/>
          <w:bCs/>
          <w:color w:val="000000"/>
          <w:sz w:val="20"/>
        </w:rPr>
      </w:pPr>
      <w:r w:rsidRPr="00DB14EB">
        <w:rPr>
          <w:rFonts w:ascii="Helvetica" w:hAnsi="Helvetica" w:cs="Arial"/>
          <w:bCs/>
          <w:color w:val="000000"/>
          <w:sz w:val="20"/>
        </w:rPr>
        <w:t xml:space="preserve">El moderador comenzó la sesión presentando el marco general sobre cómo poner en práctica la estrategia </w:t>
      </w:r>
      <w:r w:rsidR="008B248C">
        <w:rPr>
          <w:rFonts w:ascii="Helvetica" w:hAnsi="Helvetica" w:cs="Arial"/>
          <w:bCs/>
          <w:color w:val="000000"/>
          <w:sz w:val="20"/>
        </w:rPr>
        <w:t xml:space="preserve">del </w:t>
      </w:r>
      <w:r w:rsidR="008B248C" w:rsidRPr="00DB14EB">
        <w:rPr>
          <w:rFonts w:ascii="Helvetica" w:hAnsi="Helvetica" w:cs="Arial"/>
          <w:bCs/>
          <w:color w:val="000000"/>
          <w:sz w:val="20"/>
        </w:rPr>
        <w:t>CPMI</w:t>
      </w:r>
      <w:r w:rsidR="008B248C" w:rsidRPr="00DB14EB">
        <w:rPr>
          <w:rFonts w:ascii="Helvetica" w:hAnsi="Helvetica" w:cs="Arial"/>
          <w:bCs/>
          <w:color w:val="000000"/>
          <w:sz w:val="20"/>
        </w:rPr>
        <w:t xml:space="preserve"> </w:t>
      </w:r>
      <w:r w:rsidR="008B248C">
        <w:rPr>
          <w:rFonts w:ascii="Helvetica" w:hAnsi="Helvetica" w:cs="Arial"/>
          <w:bCs/>
          <w:color w:val="000000"/>
          <w:sz w:val="20"/>
        </w:rPr>
        <w:t>sobre</w:t>
      </w:r>
      <w:r w:rsidRPr="00DB14EB">
        <w:rPr>
          <w:rFonts w:ascii="Helvetica" w:hAnsi="Helvetica" w:cs="Arial"/>
          <w:bCs/>
          <w:color w:val="000000"/>
          <w:sz w:val="20"/>
        </w:rPr>
        <w:t xml:space="preserve"> seguridad </w:t>
      </w:r>
      <w:r w:rsidR="008B248C">
        <w:rPr>
          <w:rFonts w:ascii="Helvetica" w:hAnsi="Helvetica" w:cs="Arial"/>
          <w:bCs/>
          <w:color w:val="000000"/>
          <w:sz w:val="20"/>
        </w:rPr>
        <w:t xml:space="preserve">en los </w:t>
      </w:r>
      <w:r w:rsidR="008B248C" w:rsidRPr="008B248C">
        <w:rPr>
          <w:rFonts w:ascii="Helvetica" w:hAnsi="Helvetica" w:cs="Arial"/>
          <w:bCs/>
          <w:i/>
          <w:iCs/>
          <w:color w:val="000000"/>
          <w:sz w:val="20"/>
        </w:rPr>
        <w:t>endpoints</w:t>
      </w:r>
      <w:r w:rsidRPr="00DB14EB">
        <w:rPr>
          <w:rFonts w:ascii="Helvetica" w:hAnsi="Helvetica" w:cs="Arial"/>
          <w:bCs/>
          <w:color w:val="000000"/>
          <w:sz w:val="20"/>
        </w:rPr>
        <w:t xml:space="preserve"> de </w:t>
      </w:r>
      <w:r w:rsidR="008B248C">
        <w:rPr>
          <w:rFonts w:ascii="Helvetica" w:hAnsi="Helvetica" w:cs="Arial"/>
          <w:bCs/>
          <w:color w:val="000000"/>
          <w:sz w:val="20"/>
        </w:rPr>
        <w:t xml:space="preserve">sistemas de </w:t>
      </w:r>
      <w:r w:rsidRPr="00DB14EB">
        <w:rPr>
          <w:rFonts w:ascii="Helvetica" w:hAnsi="Helvetica" w:cs="Arial"/>
          <w:bCs/>
          <w:color w:val="000000"/>
          <w:sz w:val="20"/>
        </w:rPr>
        <w:t xml:space="preserve">pagos mayoristas (WPS). La presentación abarcó los resultados previstos de la estrategia, las prácticas emergentes, el kit de herramientas de operacionalización y los recursos para los bancos centrales </w:t>
      </w:r>
      <w:r w:rsidR="008B248C">
        <w:rPr>
          <w:rFonts w:ascii="Helvetica" w:hAnsi="Helvetica" w:cs="Arial"/>
          <w:bCs/>
          <w:color w:val="000000"/>
          <w:sz w:val="20"/>
        </w:rPr>
        <w:t>de la región</w:t>
      </w:r>
      <w:r w:rsidRPr="00DB14EB">
        <w:rPr>
          <w:rFonts w:ascii="Helvetica" w:hAnsi="Helvetica" w:cs="Arial"/>
          <w:bCs/>
          <w:color w:val="000000"/>
          <w:sz w:val="20"/>
        </w:rPr>
        <w:t>. Uno de los mensajes clave de la introducción de la sesión fue que una operacionalización exitosa de la estrategia depende de que los operadores, los participantes y otras partes interesadas relevantes del sector privado y del sector público en cada jurisdicción participen activamente y se apropien del desarrollo y la realización de un proceso apropiado para sus respectivas jurisdicciones</w:t>
      </w:r>
      <w:r w:rsidR="007B3DCB" w:rsidRPr="00DB14EB">
        <w:rPr>
          <w:rFonts w:ascii="Helvetica" w:hAnsi="Helvetica" w:cs="Arial"/>
          <w:bCs/>
          <w:color w:val="000000"/>
          <w:sz w:val="20"/>
        </w:rPr>
        <w:t xml:space="preserve"> </w:t>
      </w:r>
    </w:p>
    <w:p w:rsidR="00062723" w:rsidRPr="00DB14EB" w:rsidRDefault="00704774" w:rsidP="000D7C26">
      <w:pPr>
        <w:jc w:val="both"/>
        <w:rPr>
          <w:rFonts w:ascii="Helvetica" w:hAnsi="Helvetica" w:cs="Arial"/>
          <w:bCs/>
          <w:color w:val="000000"/>
          <w:sz w:val="20"/>
        </w:rPr>
      </w:pPr>
      <w:r w:rsidRPr="00DB14EB">
        <w:rPr>
          <w:rFonts w:ascii="Helvetica" w:hAnsi="Helvetica" w:cs="Arial"/>
          <w:bCs/>
          <w:color w:val="000000"/>
          <w:sz w:val="20"/>
        </w:rPr>
        <w:t>Después de la presentación de</w:t>
      </w:r>
      <w:r w:rsidR="008B248C">
        <w:rPr>
          <w:rFonts w:ascii="Helvetica" w:hAnsi="Helvetica" w:cs="Arial"/>
          <w:bCs/>
          <w:color w:val="000000"/>
          <w:sz w:val="20"/>
        </w:rPr>
        <w:t>l</w:t>
      </w:r>
      <w:r w:rsidRPr="00DB14EB">
        <w:rPr>
          <w:rFonts w:ascii="Helvetica" w:hAnsi="Helvetica" w:cs="Arial"/>
          <w:bCs/>
          <w:color w:val="000000"/>
          <w:sz w:val="20"/>
        </w:rPr>
        <w:t xml:space="preserve"> CPMI, los panelistas de la sesión presentaron cómo sus bancos centrales están enfrentando los desafíos que enfrenta la industria y el banco central para poner en práctica la estrategia WPS.</w:t>
      </w:r>
    </w:p>
    <w:p w:rsidR="007B3DCB" w:rsidRPr="00DB14EB" w:rsidRDefault="00704774" w:rsidP="000D7C26">
      <w:pPr>
        <w:jc w:val="both"/>
        <w:rPr>
          <w:rFonts w:ascii="Helvetica" w:hAnsi="Helvetica" w:cs="Arial"/>
          <w:bCs/>
          <w:color w:val="000000"/>
          <w:sz w:val="20"/>
        </w:rPr>
      </w:pPr>
      <w:r w:rsidRPr="00DB14EB">
        <w:rPr>
          <w:rFonts w:ascii="Helvetica" w:hAnsi="Helvetica" w:cs="Arial"/>
          <w:bCs/>
          <w:color w:val="000000"/>
          <w:sz w:val="20"/>
        </w:rPr>
        <w:t>En general, los bancos centrales señalaron algunas preocupaciones particulares de cara al futuro. Por nombrar algunos, la plantilla de monitoreo de la estrategia no permite medir cómo las acciones específicas ayudarán a alcanzar el resultado esperado; el estado reportado para 2021 es un</w:t>
      </w:r>
      <w:r w:rsidR="008B248C">
        <w:rPr>
          <w:rFonts w:ascii="Helvetica" w:hAnsi="Helvetica" w:cs="Arial"/>
          <w:bCs/>
          <w:color w:val="000000"/>
          <w:sz w:val="20"/>
        </w:rPr>
        <w:t>a aproximación basada</w:t>
      </w:r>
      <w:r w:rsidRPr="00DB14EB">
        <w:rPr>
          <w:rFonts w:ascii="Helvetica" w:hAnsi="Helvetica" w:cs="Arial"/>
          <w:bCs/>
          <w:color w:val="000000"/>
          <w:sz w:val="20"/>
        </w:rPr>
        <w:t xml:space="preserve"> expectativas; </w:t>
      </w:r>
      <w:r w:rsidR="008B248C">
        <w:rPr>
          <w:rFonts w:ascii="Helvetica" w:hAnsi="Helvetica" w:cs="Arial"/>
          <w:bCs/>
          <w:color w:val="000000"/>
          <w:sz w:val="20"/>
        </w:rPr>
        <w:t>l</w:t>
      </w:r>
      <w:r w:rsidRPr="00DB14EB">
        <w:rPr>
          <w:rFonts w:ascii="Helvetica" w:hAnsi="Helvetica" w:cs="Arial"/>
          <w:bCs/>
          <w:color w:val="000000"/>
          <w:sz w:val="20"/>
        </w:rPr>
        <w:t xml:space="preserve">os bancos centrales de ALC informaron complejidad para interpretar los ejemplos y acciones de la </w:t>
      </w:r>
      <w:r w:rsidR="008B248C">
        <w:rPr>
          <w:rFonts w:ascii="Helvetica" w:hAnsi="Helvetica" w:cs="Arial"/>
          <w:bCs/>
          <w:color w:val="000000"/>
          <w:sz w:val="20"/>
        </w:rPr>
        <w:t>e</w:t>
      </w:r>
      <w:r w:rsidRPr="00DB14EB">
        <w:rPr>
          <w:rFonts w:ascii="Helvetica" w:hAnsi="Helvetica" w:cs="Arial"/>
          <w:bCs/>
          <w:color w:val="000000"/>
          <w:sz w:val="20"/>
        </w:rPr>
        <w:t xml:space="preserve">strategia; como se esperaba, la implementación a veces se basa en la urgencia o el riesgo percibido por cada autoridad; no está claro cómo </w:t>
      </w:r>
      <w:r w:rsidR="008B248C">
        <w:rPr>
          <w:rFonts w:ascii="Helvetica" w:hAnsi="Helvetica" w:cs="Arial"/>
          <w:bCs/>
          <w:color w:val="000000"/>
          <w:sz w:val="20"/>
        </w:rPr>
        <w:t>acercarse a los proveedores de servicios de pago y a los operadores de infraestructuras</w:t>
      </w:r>
      <w:r w:rsidRPr="00DB14EB">
        <w:rPr>
          <w:rFonts w:ascii="Helvetica" w:hAnsi="Helvetica" w:cs="Arial"/>
          <w:bCs/>
          <w:color w:val="000000"/>
          <w:sz w:val="20"/>
        </w:rPr>
        <w:t xml:space="preserve"> para garantizar su cumplimiento; y que nuevos participantes </w:t>
      </w:r>
      <w:r w:rsidR="008B248C">
        <w:rPr>
          <w:rFonts w:ascii="Helvetica" w:hAnsi="Helvetica" w:cs="Arial"/>
          <w:bCs/>
          <w:color w:val="000000"/>
          <w:sz w:val="20"/>
        </w:rPr>
        <w:t xml:space="preserve">(fintech) </w:t>
      </w:r>
      <w:r w:rsidRPr="00DB14EB">
        <w:rPr>
          <w:rFonts w:ascii="Helvetica" w:hAnsi="Helvetica" w:cs="Arial"/>
          <w:bCs/>
          <w:color w:val="000000"/>
          <w:sz w:val="20"/>
        </w:rPr>
        <w:t>y los posibles cambios en los arreglos de acces</w:t>
      </w:r>
      <w:r w:rsidR="008B248C">
        <w:rPr>
          <w:rFonts w:ascii="Helvetica" w:hAnsi="Helvetica" w:cs="Arial"/>
          <w:bCs/>
          <w:color w:val="000000"/>
          <w:sz w:val="20"/>
        </w:rPr>
        <w:t>ibilidad a infraestructuras</w:t>
      </w:r>
      <w:r w:rsidRPr="00DB14EB">
        <w:rPr>
          <w:rFonts w:ascii="Helvetica" w:hAnsi="Helvetica" w:cs="Arial"/>
          <w:bCs/>
          <w:color w:val="000000"/>
          <w:sz w:val="20"/>
        </w:rPr>
        <w:t xml:space="preserve"> requerirán pautas adicionales.</w:t>
      </w:r>
    </w:p>
    <w:p w:rsidR="00062723" w:rsidRPr="00DB14EB" w:rsidRDefault="00FE03B5" w:rsidP="000D7C26">
      <w:pPr>
        <w:jc w:val="both"/>
        <w:rPr>
          <w:rFonts w:ascii="Helvetica" w:hAnsi="Helvetica" w:cs="Arial"/>
          <w:bCs/>
          <w:color w:val="000000"/>
          <w:sz w:val="20"/>
        </w:rPr>
      </w:pPr>
      <w:r w:rsidRPr="00DB14EB">
        <w:rPr>
          <w:rFonts w:ascii="Helvetica" w:hAnsi="Helvetica" w:cs="Arial"/>
          <w:bCs/>
          <w:color w:val="000000"/>
          <w:sz w:val="20"/>
        </w:rPr>
        <w:t>Como ejemplo, uno de los bancos centrales presentó una estrategia detallada sobre pruebas cibernéticas que podría ayudar a poner en práctica aspectos específicos de la estrategia WPS, de una manera más viva y precisa. A lo largo de esta presentación, se mostró cómo los ejercicios de prueba son herramientas útiles para identificar vectores de riesgo, así como para desarrollar acciones de respuesta en los bancos centrales.</w:t>
      </w:r>
    </w:p>
    <w:p w:rsidR="000D7C26" w:rsidRPr="00DB14EB" w:rsidRDefault="00FE03B5" w:rsidP="00C2004B">
      <w:pPr>
        <w:jc w:val="both"/>
        <w:rPr>
          <w:rFonts w:ascii="Helvetica" w:hAnsi="Helvetica" w:cs="Arial"/>
          <w:bCs/>
          <w:color w:val="000000"/>
          <w:sz w:val="20"/>
        </w:rPr>
      </w:pPr>
      <w:r w:rsidRPr="00DB14EB">
        <w:rPr>
          <w:rFonts w:ascii="Helvetica" w:hAnsi="Helvetica" w:cs="Arial"/>
          <w:bCs/>
          <w:color w:val="000000"/>
          <w:sz w:val="20"/>
        </w:rPr>
        <w:t xml:space="preserve">Para concluir esta sesión, se mencionó que en algunas circunstancias también será necesario adaptar la regulación para establecer pautas claras para los reguladores, los participantes y operadores del sistema de pago, y todo tipo de </w:t>
      </w:r>
      <w:r w:rsidR="008B248C" w:rsidRPr="008B248C">
        <w:rPr>
          <w:rFonts w:ascii="Helvetica" w:hAnsi="Helvetica" w:cs="Arial"/>
          <w:bCs/>
          <w:i/>
          <w:iCs/>
          <w:color w:val="000000"/>
          <w:sz w:val="20"/>
        </w:rPr>
        <w:t>endpoints</w:t>
      </w:r>
      <w:r w:rsidRPr="00DB14EB">
        <w:rPr>
          <w:rFonts w:ascii="Helvetica" w:hAnsi="Helvetica" w:cs="Arial"/>
          <w:bCs/>
          <w:color w:val="000000"/>
          <w:sz w:val="20"/>
        </w:rPr>
        <w:t xml:space="preserve"> para garantizar la integridad, disponibilidad y confidencialidad de la información y el óptimo funcionamiento de su infraestructura de TIC. Además, se espera que las entidades reguladas presten más atención a las amenazas cibernéticas, lo que permite un mayor monitoreo y planificación por parte de los equipos de respuesta a incidentes.</w:t>
      </w:r>
    </w:p>
    <w:p w:rsidR="00995089" w:rsidRPr="00DB14EB" w:rsidRDefault="00995089" w:rsidP="003672C9">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Sesi</w:t>
      </w:r>
      <w:r w:rsidR="00FE03B5" w:rsidRPr="00DB14EB">
        <w:rPr>
          <w:rFonts w:ascii="Helvetica" w:hAnsi="Helvetica" w:cs="Arial"/>
          <w:b/>
          <w:i/>
          <w:iCs/>
          <w:color w:val="000000"/>
          <w:sz w:val="20"/>
        </w:rPr>
        <w:t>ó</w:t>
      </w:r>
      <w:r w:rsidRPr="00DB14EB">
        <w:rPr>
          <w:rFonts w:ascii="Helvetica" w:hAnsi="Helvetica" w:cs="Arial"/>
          <w:b/>
          <w:i/>
          <w:iCs/>
          <w:color w:val="000000"/>
          <w:sz w:val="20"/>
        </w:rPr>
        <w:t xml:space="preserve">n </w:t>
      </w:r>
      <w:r w:rsidR="00C2004B" w:rsidRPr="00DB14EB">
        <w:rPr>
          <w:rFonts w:ascii="Helvetica" w:hAnsi="Helvetica" w:cs="Arial"/>
          <w:b/>
          <w:i/>
          <w:iCs/>
          <w:color w:val="000000"/>
          <w:sz w:val="20"/>
        </w:rPr>
        <w:t>4</w:t>
      </w:r>
      <w:r w:rsidRPr="00DB14EB">
        <w:rPr>
          <w:rFonts w:ascii="Helvetica" w:hAnsi="Helvetica" w:cs="Arial"/>
          <w:b/>
          <w:i/>
          <w:iCs/>
          <w:color w:val="000000"/>
          <w:sz w:val="20"/>
        </w:rPr>
        <w:t xml:space="preserve">.  </w:t>
      </w:r>
      <w:r w:rsidR="0072477E" w:rsidRPr="00DB14EB">
        <w:rPr>
          <w:rFonts w:ascii="Helvetica" w:hAnsi="Helvetica" w:cs="Arial"/>
          <w:b/>
          <w:i/>
          <w:iCs/>
          <w:color w:val="000000"/>
          <w:sz w:val="20"/>
        </w:rPr>
        <w:t>Iniciativas y desarrollos Fintech</w:t>
      </w:r>
    </w:p>
    <w:p w:rsidR="00995089" w:rsidRPr="00DB14EB" w:rsidRDefault="0072477E" w:rsidP="00C2004B">
      <w:p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Esta sesión fue formada por presentaciones del BIS, el Banco Mundial y el Grupo de trabajo Fintech </w:t>
      </w:r>
      <w:r w:rsidR="008B248C">
        <w:rPr>
          <w:rFonts w:ascii="Helvetica" w:hAnsi="Helvetica" w:cs="Arial"/>
          <w:bCs/>
          <w:color w:val="000000"/>
          <w:sz w:val="20"/>
        </w:rPr>
        <w:t xml:space="preserve">del </w:t>
      </w:r>
      <w:r w:rsidRPr="00DB14EB">
        <w:rPr>
          <w:rFonts w:ascii="Helvetica" w:hAnsi="Helvetica" w:cs="Arial"/>
          <w:bCs/>
          <w:color w:val="000000"/>
          <w:sz w:val="20"/>
        </w:rPr>
        <w:t>CARICOM, con enfoque en iniciativas internacionales y regionales relacionadas con los pagos</w:t>
      </w:r>
      <w:r w:rsidR="008B248C">
        <w:rPr>
          <w:rFonts w:ascii="Helvetica" w:hAnsi="Helvetica" w:cs="Arial"/>
          <w:bCs/>
          <w:color w:val="000000"/>
          <w:sz w:val="20"/>
        </w:rPr>
        <w:t xml:space="preserve"> y fintech</w:t>
      </w:r>
      <w:r w:rsidRPr="00DB14EB">
        <w:rPr>
          <w:rFonts w:ascii="Helvetica" w:hAnsi="Helvetica" w:cs="Arial"/>
          <w:bCs/>
          <w:color w:val="000000"/>
          <w:sz w:val="20"/>
        </w:rPr>
        <w:t xml:space="preserve">, y </w:t>
      </w:r>
      <w:r w:rsidR="008B248C">
        <w:rPr>
          <w:rFonts w:ascii="Helvetica" w:hAnsi="Helvetica" w:cs="Arial"/>
          <w:bCs/>
          <w:color w:val="000000"/>
          <w:sz w:val="20"/>
        </w:rPr>
        <w:t>sus</w:t>
      </w:r>
      <w:r w:rsidRPr="00DB14EB">
        <w:rPr>
          <w:rFonts w:ascii="Helvetica" w:hAnsi="Helvetica" w:cs="Arial"/>
          <w:bCs/>
          <w:color w:val="000000"/>
          <w:sz w:val="20"/>
        </w:rPr>
        <w:t xml:space="preserve"> implicaciones directas para los bancos centrales y otras autoridades relevantes.</w:t>
      </w:r>
    </w:p>
    <w:p w:rsidR="00CE6AA2" w:rsidRPr="00DB14EB" w:rsidRDefault="0072477E" w:rsidP="00B75727">
      <w:pPr>
        <w:jc w:val="both"/>
        <w:rPr>
          <w:rFonts w:ascii="Helvetica" w:hAnsi="Helvetica" w:cs="Arial"/>
          <w:bCs/>
          <w:color w:val="000000"/>
          <w:sz w:val="20"/>
        </w:rPr>
      </w:pPr>
      <w:r w:rsidRPr="00DB14EB">
        <w:rPr>
          <w:rFonts w:ascii="Helvetica" w:hAnsi="Helvetica" w:cs="Arial"/>
          <w:bCs/>
          <w:color w:val="000000"/>
          <w:sz w:val="20"/>
        </w:rPr>
        <w:t>Los temas examinados fueron: envejecimiento e inclusión financiera digital, identidad digital y una agenda regulatoria contra el efectivo.</w:t>
      </w:r>
    </w:p>
    <w:p w:rsidR="00287D22" w:rsidRPr="00DB14EB" w:rsidRDefault="008A13D2" w:rsidP="00B75727">
      <w:pPr>
        <w:jc w:val="both"/>
        <w:rPr>
          <w:rFonts w:ascii="Helvetica" w:hAnsi="Helvetica" w:cs="Arial"/>
          <w:bCs/>
          <w:color w:val="000000"/>
          <w:sz w:val="20"/>
        </w:rPr>
      </w:pPr>
      <w:r w:rsidRPr="00DB14EB">
        <w:rPr>
          <w:rFonts w:ascii="Helvetica" w:hAnsi="Helvetica" w:cs="Arial"/>
          <w:bCs/>
          <w:color w:val="000000"/>
          <w:sz w:val="20"/>
        </w:rPr>
        <w:lastRenderedPageBreak/>
        <w:t>Con respecto al envejecimiento y la inclusión financiera digital, se informó a los participantes sobre las preocupaciones globales planteadas por el G20. En el caso particular de los pagos, la aparición de nuevos productos y modelos comerciales requiere que los bancos centrales salvaguarden la estabilidad del sistema financiero y, si es posible, alienten dichos desarrollos para que se conviertan en una puerta de entrada para el esquema de ahorro formal y respalden la planificación financiera de por vida y la igualdad intergeneracional.</w:t>
      </w:r>
    </w:p>
    <w:p w:rsidR="00B75727" w:rsidRPr="00DB14EB" w:rsidRDefault="00863256" w:rsidP="007C4C15">
      <w:pPr>
        <w:jc w:val="both"/>
        <w:rPr>
          <w:rFonts w:ascii="Helvetica" w:hAnsi="Helvetica" w:cs="Arial"/>
          <w:bCs/>
          <w:color w:val="000000"/>
          <w:sz w:val="20"/>
        </w:rPr>
      </w:pPr>
      <w:r w:rsidRPr="00DB14EB">
        <w:rPr>
          <w:rFonts w:ascii="Helvetica" w:hAnsi="Helvetica" w:cs="Arial"/>
          <w:bCs/>
          <w:color w:val="000000"/>
          <w:sz w:val="20"/>
        </w:rPr>
        <w:t>En cuanto a la identidad digital y los pagos, se presentó que las nuevas tecnologías son útiles para apoyar los esfuerzos de las autoridades por un sistema de identidad nacional mejorado. Los bancos centrales pueden necesitar pautas o regulaciones que permitan el uso apropiado y confiable de los sistemas de identificación digital para cumplir con los requisitos AML / CFT en los servicios de pagos, especialmente en aquellos casos en los que las autoridades no supervisan adecuadamente los modelos de negocio, los participantes y los productos. Si está bien implementado, los bancos centrales podrían usar la información de trazabilidad e identificación de estos sistemas para mejorar la seguridad y confiabilidad del mercado global de pagos minoristas.</w:t>
      </w:r>
    </w:p>
    <w:p w:rsidR="00863256" w:rsidRPr="00DB14EB" w:rsidRDefault="00863256" w:rsidP="006438E7">
      <w:pPr>
        <w:tabs>
          <w:tab w:val="num" w:pos="720"/>
        </w:tabs>
        <w:jc w:val="both"/>
        <w:rPr>
          <w:rFonts w:ascii="Helvetica" w:hAnsi="Helvetica" w:cs="Helvetica"/>
          <w:bCs/>
          <w:sz w:val="20"/>
          <w:szCs w:val="20"/>
        </w:rPr>
      </w:pPr>
      <w:r w:rsidRPr="00DB14EB">
        <w:rPr>
          <w:rFonts w:ascii="Helvetica" w:hAnsi="Helvetica" w:cs="Helvetica"/>
          <w:bCs/>
          <w:sz w:val="20"/>
          <w:szCs w:val="20"/>
        </w:rPr>
        <w:t xml:space="preserve">Para concluir, el Grupo de Trabajo de CARICOM presentó una visión general de la investigación regional reciente sobre pagos, </w:t>
      </w:r>
      <w:r w:rsidR="00F1268E">
        <w:rPr>
          <w:rFonts w:ascii="Helvetica" w:hAnsi="Helvetica" w:cs="Helvetica"/>
          <w:bCs/>
          <w:sz w:val="20"/>
          <w:szCs w:val="20"/>
        </w:rPr>
        <w:t>f</w:t>
      </w:r>
      <w:r w:rsidRPr="00DB14EB">
        <w:rPr>
          <w:rFonts w:ascii="Helvetica" w:hAnsi="Helvetica" w:cs="Helvetica"/>
          <w:bCs/>
          <w:sz w:val="20"/>
          <w:szCs w:val="20"/>
        </w:rPr>
        <w:t xml:space="preserve">intech y regulación. Se subrayó que la disminución eminente en efectivo dicta varios imperativos para los reguladores regionales, que incluyen los siguientes: 1) mejorar la eficiencia de los pagos electrónicos; 2) consideración cuidadosa </w:t>
      </w:r>
      <w:r w:rsidR="00F1268E">
        <w:rPr>
          <w:rFonts w:ascii="Helvetica" w:hAnsi="Helvetica" w:cs="Helvetica"/>
          <w:bCs/>
          <w:sz w:val="20"/>
          <w:szCs w:val="20"/>
        </w:rPr>
        <w:t>de</w:t>
      </w:r>
      <w:r w:rsidRPr="00DB14EB">
        <w:rPr>
          <w:rFonts w:ascii="Helvetica" w:hAnsi="Helvetica" w:cs="Helvetica"/>
          <w:bCs/>
          <w:sz w:val="20"/>
          <w:szCs w:val="20"/>
        </w:rPr>
        <w:t xml:space="preserve"> la emisión de CBDC como un suplemento al efectivo; 3) Interoperabilidad de nuevas soluciones digitales con sistemas heredados; 4) acceso a servicios de </w:t>
      </w:r>
      <w:r w:rsidR="00F1268E">
        <w:rPr>
          <w:rFonts w:ascii="Helvetica" w:hAnsi="Helvetica" w:cs="Helvetica"/>
          <w:bCs/>
          <w:sz w:val="20"/>
          <w:szCs w:val="20"/>
        </w:rPr>
        <w:t>las infraestructuras existentes</w:t>
      </w:r>
      <w:r w:rsidRPr="00DB14EB">
        <w:rPr>
          <w:rFonts w:ascii="Helvetica" w:hAnsi="Helvetica" w:cs="Helvetica"/>
          <w:bCs/>
          <w:sz w:val="20"/>
          <w:szCs w:val="20"/>
        </w:rPr>
        <w:t xml:space="preserve"> para nuevos participantes; 5) un marco de políticas para crear claridad regulatoria; y 5) un marco de monitoreo claro hasta que se haya promulgado la regulación pertinente. El enfoque especial en la regulación de pagos y tecnología financiera en todo el Caribe mostró que al menos ocho territorios no tienen disposiciones para monedas digitales, y que la mayoría de los países están en proceso de emprender enmiendas legislativas o desarrollar una nueva legislación. Finalmente, se enfatizó que un desafío global para los reguladores será establecer acciones que no repriman la innovación y creen un campo de juego nivelado para todos los participantes del mercado, al tiempo que protegen adecuadamente el mandato de política pública de estabilidad financiera.</w:t>
      </w:r>
    </w:p>
    <w:p w:rsidR="00287D22" w:rsidRPr="00DB14EB" w:rsidRDefault="00287D22" w:rsidP="00D62AF5">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Sesi</w:t>
      </w:r>
      <w:r w:rsidR="008D2D1A" w:rsidRPr="00DB14EB">
        <w:rPr>
          <w:rFonts w:ascii="Helvetica" w:hAnsi="Helvetica" w:cs="Arial"/>
          <w:b/>
          <w:i/>
          <w:iCs/>
          <w:color w:val="000000"/>
          <w:sz w:val="20"/>
        </w:rPr>
        <w:t>ó</w:t>
      </w:r>
      <w:r w:rsidRPr="00DB14EB">
        <w:rPr>
          <w:rFonts w:ascii="Helvetica" w:hAnsi="Helvetica" w:cs="Arial"/>
          <w:b/>
          <w:i/>
          <w:iCs/>
          <w:color w:val="000000"/>
          <w:sz w:val="20"/>
        </w:rPr>
        <w:t xml:space="preserve">n </w:t>
      </w:r>
      <w:r w:rsidR="00C2004B" w:rsidRPr="00DB14EB">
        <w:rPr>
          <w:rFonts w:ascii="Helvetica" w:hAnsi="Helvetica" w:cs="Arial"/>
          <w:b/>
          <w:i/>
          <w:iCs/>
          <w:color w:val="000000"/>
          <w:sz w:val="20"/>
        </w:rPr>
        <w:t>5</w:t>
      </w:r>
      <w:r w:rsidRPr="00DB14EB">
        <w:rPr>
          <w:rFonts w:ascii="Helvetica" w:hAnsi="Helvetica" w:cs="Arial"/>
          <w:b/>
          <w:i/>
          <w:iCs/>
          <w:color w:val="000000"/>
          <w:sz w:val="20"/>
        </w:rPr>
        <w:t xml:space="preserve">. </w:t>
      </w:r>
      <w:r w:rsidR="008D2D1A" w:rsidRPr="00DB14EB">
        <w:rPr>
          <w:rFonts w:ascii="Helvetica" w:hAnsi="Helvetica" w:cs="Arial"/>
          <w:b/>
          <w:i/>
          <w:iCs/>
          <w:color w:val="000000"/>
          <w:sz w:val="20"/>
        </w:rPr>
        <w:t xml:space="preserve">Innovaciones </w:t>
      </w:r>
      <w:r w:rsidR="00F1268E">
        <w:rPr>
          <w:rFonts w:ascii="Helvetica" w:hAnsi="Helvetica" w:cs="Arial"/>
          <w:b/>
          <w:i/>
          <w:iCs/>
          <w:color w:val="000000"/>
          <w:sz w:val="20"/>
        </w:rPr>
        <w:t>en</w:t>
      </w:r>
      <w:r w:rsidR="008D2D1A" w:rsidRPr="00DB14EB">
        <w:rPr>
          <w:rFonts w:ascii="Helvetica" w:hAnsi="Helvetica" w:cs="Arial"/>
          <w:b/>
          <w:i/>
          <w:iCs/>
          <w:color w:val="000000"/>
          <w:sz w:val="20"/>
        </w:rPr>
        <w:t xml:space="preserve"> </w:t>
      </w:r>
      <w:r w:rsidRPr="00DB14EB">
        <w:rPr>
          <w:rFonts w:ascii="Helvetica" w:hAnsi="Helvetica" w:cs="Arial"/>
          <w:b/>
          <w:i/>
          <w:iCs/>
          <w:color w:val="000000"/>
          <w:sz w:val="20"/>
        </w:rPr>
        <w:t>Pa</w:t>
      </w:r>
      <w:r w:rsidR="00FB46F5" w:rsidRPr="00DB14EB">
        <w:rPr>
          <w:rFonts w:ascii="Helvetica" w:hAnsi="Helvetica" w:cs="Arial"/>
          <w:b/>
          <w:i/>
          <w:iCs/>
          <w:color w:val="000000"/>
          <w:sz w:val="20"/>
        </w:rPr>
        <w:t>go</w:t>
      </w:r>
      <w:r w:rsidR="00F1268E">
        <w:rPr>
          <w:rFonts w:ascii="Helvetica" w:hAnsi="Helvetica" w:cs="Arial"/>
          <w:b/>
          <w:i/>
          <w:iCs/>
          <w:color w:val="000000"/>
          <w:sz w:val="20"/>
        </w:rPr>
        <w:t>s</w:t>
      </w:r>
    </w:p>
    <w:p w:rsidR="00287D22" w:rsidRPr="00DB14EB" w:rsidRDefault="00FC04F4" w:rsidP="00D62AF5">
      <w:pPr>
        <w:spacing w:after="120" w:line="240" w:lineRule="auto"/>
        <w:jc w:val="both"/>
        <w:rPr>
          <w:rFonts w:ascii="Helvetica" w:hAnsi="Helvetica" w:cs="Helvetica"/>
          <w:bCs/>
          <w:sz w:val="20"/>
          <w:szCs w:val="20"/>
        </w:rPr>
      </w:pPr>
      <w:r w:rsidRPr="00DB14EB">
        <w:rPr>
          <w:rFonts w:ascii="Helvetica" w:hAnsi="Helvetica" w:cs="Helvetica"/>
          <w:bCs/>
          <w:sz w:val="20"/>
          <w:szCs w:val="20"/>
        </w:rPr>
        <w:t xml:space="preserve">Esta sesión incluyó presentaciones de los bancos centrales de Brasil, Chile y los Países Bajos, con énfasis en las innovaciones </w:t>
      </w:r>
      <w:r w:rsidR="00F1268E" w:rsidRPr="00DB14EB">
        <w:rPr>
          <w:rFonts w:ascii="Helvetica" w:hAnsi="Helvetica" w:cs="Helvetica"/>
          <w:bCs/>
          <w:sz w:val="20"/>
          <w:szCs w:val="20"/>
        </w:rPr>
        <w:t xml:space="preserve">recientes </w:t>
      </w:r>
      <w:r w:rsidR="00F1268E">
        <w:rPr>
          <w:rFonts w:ascii="Helvetica" w:hAnsi="Helvetica" w:cs="Helvetica"/>
          <w:bCs/>
          <w:sz w:val="20"/>
          <w:szCs w:val="20"/>
        </w:rPr>
        <w:t>en</w:t>
      </w:r>
      <w:r w:rsidRPr="00DB14EB">
        <w:rPr>
          <w:rFonts w:ascii="Helvetica" w:hAnsi="Helvetica" w:cs="Helvetica"/>
          <w:bCs/>
          <w:sz w:val="20"/>
          <w:szCs w:val="20"/>
        </w:rPr>
        <w:t xml:space="preserve"> pagos y los desarrollos </w:t>
      </w:r>
      <w:r w:rsidR="00F1268E">
        <w:rPr>
          <w:rFonts w:ascii="Helvetica" w:hAnsi="Helvetica" w:cs="Helvetica"/>
          <w:bCs/>
          <w:sz w:val="20"/>
          <w:szCs w:val="20"/>
        </w:rPr>
        <w:t>f</w:t>
      </w:r>
      <w:r w:rsidR="000F67C0" w:rsidRPr="00DB14EB">
        <w:rPr>
          <w:rFonts w:ascii="Helvetica" w:hAnsi="Helvetica" w:cs="Helvetica"/>
          <w:bCs/>
          <w:sz w:val="20"/>
          <w:szCs w:val="20"/>
        </w:rPr>
        <w:t>intech</w:t>
      </w:r>
      <w:r w:rsidRPr="00DB14EB">
        <w:rPr>
          <w:rFonts w:ascii="Helvetica" w:hAnsi="Helvetica" w:cs="Helvetica"/>
          <w:bCs/>
          <w:sz w:val="20"/>
          <w:szCs w:val="20"/>
        </w:rPr>
        <w:t xml:space="preserve"> que están dando forma al panorama de pagos nacionales.</w:t>
      </w:r>
    </w:p>
    <w:p w:rsidR="00191305" w:rsidRPr="00DB14EB" w:rsidRDefault="000F67C0" w:rsidP="00191305">
      <w:pPr>
        <w:spacing w:after="120" w:line="240" w:lineRule="auto"/>
        <w:jc w:val="both"/>
        <w:rPr>
          <w:rFonts w:ascii="Helvetica" w:hAnsi="Helvetica" w:cs="Helvetica"/>
          <w:bCs/>
          <w:sz w:val="20"/>
          <w:szCs w:val="20"/>
        </w:rPr>
      </w:pPr>
      <w:r w:rsidRPr="00DB14EB">
        <w:rPr>
          <w:rFonts w:ascii="Helvetica" w:hAnsi="Helvetica" w:cs="Helvetica"/>
          <w:bCs/>
          <w:sz w:val="20"/>
          <w:szCs w:val="20"/>
        </w:rPr>
        <w:t>Uno de los mensajes que se debatió en profundidad en esta sesión es el importante desafío en la agenda del banco central para mejorar la capacidad de comprender, gestionar e incorporar cambios tecnológicos a los mandatos y actividades del</w:t>
      </w:r>
      <w:r w:rsidR="00F1268E">
        <w:rPr>
          <w:rFonts w:ascii="Helvetica" w:hAnsi="Helvetica" w:cs="Helvetica"/>
          <w:bCs/>
          <w:sz w:val="20"/>
          <w:szCs w:val="20"/>
        </w:rPr>
        <w:t xml:space="preserve"> propio b</w:t>
      </w:r>
      <w:r w:rsidRPr="00DB14EB">
        <w:rPr>
          <w:rFonts w:ascii="Helvetica" w:hAnsi="Helvetica" w:cs="Helvetica"/>
          <w:bCs/>
          <w:sz w:val="20"/>
          <w:szCs w:val="20"/>
        </w:rPr>
        <w:t>anco</w:t>
      </w:r>
      <w:r w:rsidR="00F1268E">
        <w:rPr>
          <w:rFonts w:ascii="Helvetica" w:hAnsi="Helvetica" w:cs="Helvetica"/>
          <w:bCs/>
          <w:sz w:val="20"/>
          <w:szCs w:val="20"/>
        </w:rPr>
        <w:t xml:space="preserve"> central</w:t>
      </w:r>
      <w:r w:rsidRPr="00DB14EB">
        <w:rPr>
          <w:rFonts w:ascii="Helvetica" w:hAnsi="Helvetica" w:cs="Helvetica"/>
          <w:bCs/>
          <w:sz w:val="20"/>
          <w:szCs w:val="20"/>
        </w:rPr>
        <w:t>, tanto en el ámbito de su gestión como en las dimensiones relacionadas con los objetivos institucionales, por ejemplo, establecer un marco regulatorio y de supervisión para los nuevos productos y servicios habilitados por las tecnologías financieras, pero también aprovechar esas nuevas tecnologías a favor del funcionamiento de su infraestructura financiera.</w:t>
      </w:r>
    </w:p>
    <w:p w:rsidR="00F550F2" w:rsidRPr="00DB14EB" w:rsidRDefault="00F550F2" w:rsidP="00A30EB7">
      <w:pPr>
        <w:spacing w:after="0" w:line="240" w:lineRule="auto"/>
        <w:contextualSpacing/>
        <w:jc w:val="both"/>
        <w:rPr>
          <w:rFonts w:ascii="Helvetica" w:hAnsi="Helvetica" w:cs="Helvetica"/>
          <w:bCs/>
          <w:sz w:val="20"/>
          <w:szCs w:val="20"/>
        </w:rPr>
      </w:pPr>
      <w:r w:rsidRPr="00DB14EB">
        <w:rPr>
          <w:rFonts w:ascii="Helvetica" w:hAnsi="Helvetica" w:cs="Helvetica"/>
          <w:bCs/>
          <w:sz w:val="20"/>
          <w:szCs w:val="20"/>
        </w:rPr>
        <w:t xml:space="preserve">Hubo dos tipos de iniciativas presentadas en la sesión. Uno relacionado con la supervisión y las actividades prudenciales dirigidas por el banco central, y cómo las innovaciones redefinen el papel y las actividades desempeñadas por las autoridades, en particular cómo establecer un marco que brinde proporcionalidad, cumplimiento y otros requisitos reglamentarios que se aplican a todos los proveedores de servicios de pago, incluidos </w:t>
      </w:r>
      <w:r w:rsidR="00F1268E">
        <w:rPr>
          <w:rFonts w:ascii="Helvetica" w:hAnsi="Helvetica" w:cs="Helvetica"/>
          <w:bCs/>
          <w:sz w:val="20"/>
          <w:szCs w:val="20"/>
        </w:rPr>
        <w:t>las b</w:t>
      </w:r>
      <w:r w:rsidRPr="00DB14EB">
        <w:rPr>
          <w:rFonts w:ascii="Helvetica" w:hAnsi="Helvetica" w:cs="Helvetica"/>
          <w:bCs/>
          <w:sz w:val="20"/>
          <w:szCs w:val="20"/>
        </w:rPr>
        <w:t xml:space="preserve">igtechs, y otras entidades especializadas en servicios </w:t>
      </w:r>
      <w:r w:rsidR="00F1268E">
        <w:rPr>
          <w:rFonts w:ascii="Helvetica" w:hAnsi="Helvetica" w:cs="Helvetica"/>
          <w:bCs/>
          <w:sz w:val="20"/>
          <w:szCs w:val="20"/>
        </w:rPr>
        <w:t>terciarizados</w:t>
      </w:r>
      <w:r w:rsidRPr="00DB14EB">
        <w:rPr>
          <w:rFonts w:ascii="Helvetica" w:hAnsi="Helvetica" w:cs="Helvetica"/>
          <w:bCs/>
          <w:sz w:val="20"/>
          <w:szCs w:val="20"/>
        </w:rPr>
        <w:t xml:space="preserve">. El otro tipo de iniciativas se relaciona con el uso de nuevas tecnologías disponibles destinadas a mejorar el funcionamiento y las capacidades actuales de los sistemas de pago administrados por los bancos centrales. Para esto, se presentó un caso puntual, una </w:t>
      </w:r>
      <w:r w:rsidRPr="00DB14EB">
        <w:rPr>
          <w:rFonts w:ascii="Helvetica" w:hAnsi="Helvetica" w:cs="Helvetica"/>
          <w:bCs/>
          <w:sz w:val="20"/>
          <w:szCs w:val="20"/>
        </w:rPr>
        <w:lastRenderedPageBreak/>
        <w:t xml:space="preserve">infraestructura que sirve para la negociación y compensación de valores cuyo diseño en DLT (tecnología de </w:t>
      </w:r>
      <w:r w:rsidR="00F1268E">
        <w:rPr>
          <w:rFonts w:ascii="Helvetica" w:hAnsi="Helvetica" w:cs="Helvetica"/>
          <w:bCs/>
          <w:sz w:val="20"/>
          <w:szCs w:val="20"/>
        </w:rPr>
        <w:t>registros</w:t>
      </w:r>
      <w:r w:rsidRPr="00DB14EB">
        <w:rPr>
          <w:rFonts w:ascii="Helvetica" w:hAnsi="Helvetica" w:cs="Helvetica"/>
          <w:bCs/>
          <w:sz w:val="20"/>
          <w:szCs w:val="20"/>
        </w:rPr>
        <w:t xml:space="preserve"> distribuid</w:t>
      </w:r>
      <w:r w:rsidR="00F1268E">
        <w:rPr>
          <w:rFonts w:ascii="Helvetica" w:hAnsi="Helvetica" w:cs="Helvetica"/>
          <w:bCs/>
          <w:sz w:val="20"/>
          <w:szCs w:val="20"/>
        </w:rPr>
        <w:t>os</w:t>
      </w:r>
      <w:r w:rsidRPr="00DB14EB">
        <w:rPr>
          <w:rFonts w:ascii="Helvetica" w:hAnsi="Helvetica" w:cs="Helvetica"/>
          <w:bCs/>
          <w:sz w:val="20"/>
          <w:szCs w:val="20"/>
        </w:rPr>
        <w:t>) permitió probar si se podía lograr un rendimiento más eficiente y más fluido, en especial en términos de liquidación, registro y custodia de transacciones por activos financieros emitidos por el Gobierno.</w:t>
      </w:r>
    </w:p>
    <w:p w:rsidR="007A56FD" w:rsidRPr="00DB14EB" w:rsidRDefault="007A56FD" w:rsidP="00A30EB7">
      <w:pPr>
        <w:spacing w:after="0" w:line="240" w:lineRule="auto"/>
        <w:contextualSpacing/>
        <w:jc w:val="both"/>
        <w:rPr>
          <w:rFonts w:ascii="Helvetica" w:hAnsi="Helvetica" w:cs="Helvetica"/>
          <w:bCs/>
          <w:sz w:val="20"/>
          <w:szCs w:val="20"/>
        </w:rPr>
      </w:pPr>
    </w:p>
    <w:p w:rsidR="00D82468" w:rsidRPr="00DB14EB" w:rsidRDefault="00126236" w:rsidP="00D82468">
      <w:pPr>
        <w:spacing w:after="120" w:line="240" w:lineRule="auto"/>
        <w:jc w:val="both"/>
        <w:rPr>
          <w:rFonts w:ascii="Helvetica" w:hAnsi="Helvetica" w:cs="Helvetica"/>
          <w:bCs/>
          <w:sz w:val="20"/>
          <w:szCs w:val="20"/>
        </w:rPr>
      </w:pPr>
      <w:r w:rsidRPr="00DB14EB">
        <w:rPr>
          <w:rFonts w:ascii="Helvetica" w:hAnsi="Helvetica" w:cs="Helvetica"/>
          <w:bCs/>
          <w:sz w:val="20"/>
          <w:szCs w:val="20"/>
        </w:rPr>
        <w:t>Como conclusión de esta sesión, los participantes mencionaron que sus actividades actuales para comprender mejor los problemas tecnológicos pueden ser más efectivas al establecer equipos dedicados con los conocimientos y los recursos para abordar las nuevas tecnologías.</w:t>
      </w:r>
    </w:p>
    <w:p w:rsidR="00C911A0" w:rsidRPr="00DB14EB" w:rsidRDefault="00C911A0" w:rsidP="00C911A0">
      <w:pPr>
        <w:spacing w:after="120" w:line="240" w:lineRule="auto"/>
        <w:jc w:val="both"/>
        <w:rPr>
          <w:rFonts w:ascii="Helvetica" w:hAnsi="Helvetica" w:cs="Arial"/>
          <w:b/>
          <w:i/>
          <w:iCs/>
          <w:color w:val="000000"/>
          <w:sz w:val="20"/>
        </w:rPr>
      </w:pPr>
      <w:r w:rsidRPr="00DB14EB">
        <w:rPr>
          <w:rFonts w:ascii="Helvetica" w:hAnsi="Helvetica" w:cs="Arial"/>
          <w:b/>
          <w:i/>
          <w:iCs/>
          <w:color w:val="000000"/>
          <w:sz w:val="20"/>
        </w:rPr>
        <w:t>Sesi</w:t>
      </w:r>
      <w:r w:rsidR="00E95D20" w:rsidRPr="00DB14EB">
        <w:rPr>
          <w:rFonts w:ascii="Helvetica" w:hAnsi="Helvetica" w:cs="Arial"/>
          <w:b/>
          <w:i/>
          <w:iCs/>
          <w:color w:val="000000"/>
          <w:sz w:val="20"/>
        </w:rPr>
        <w:t>ó</w:t>
      </w:r>
      <w:r w:rsidRPr="00DB14EB">
        <w:rPr>
          <w:rFonts w:ascii="Helvetica" w:hAnsi="Helvetica" w:cs="Arial"/>
          <w:b/>
          <w:i/>
          <w:iCs/>
          <w:color w:val="000000"/>
          <w:sz w:val="20"/>
        </w:rPr>
        <w:t xml:space="preserve">n </w:t>
      </w:r>
      <w:r w:rsidR="00C2004B" w:rsidRPr="00DB14EB">
        <w:rPr>
          <w:rFonts w:ascii="Helvetica" w:hAnsi="Helvetica" w:cs="Arial"/>
          <w:b/>
          <w:i/>
          <w:iCs/>
          <w:color w:val="000000"/>
          <w:sz w:val="20"/>
        </w:rPr>
        <w:t>6</w:t>
      </w:r>
      <w:r w:rsidRPr="00DB14EB">
        <w:rPr>
          <w:rFonts w:ascii="Helvetica" w:hAnsi="Helvetica" w:cs="Arial"/>
          <w:b/>
          <w:i/>
          <w:iCs/>
          <w:color w:val="000000"/>
          <w:sz w:val="20"/>
        </w:rPr>
        <w:t xml:space="preserve">. </w:t>
      </w:r>
      <w:r w:rsidR="00E95D20" w:rsidRPr="00DB14EB">
        <w:rPr>
          <w:rFonts w:ascii="Helvetica" w:hAnsi="Helvetica" w:cs="Arial"/>
          <w:b/>
          <w:i/>
          <w:iCs/>
          <w:color w:val="000000"/>
          <w:sz w:val="20"/>
        </w:rPr>
        <w:t xml:space="preserve">Regulación para </w:t>
      </w:r>
      <w:r w:rsidR="00F1268E">
        <w:rPr>
          <w:rFonts w:ascii="Helvetica" w:hAnsi="Helvetica" w:cs="Arial"/>
          <w:b/>
          <w:i/>
          <w:iCs/>
          <w:color w:val="000000"/>
          <w:sz w:val="20"/>
        </w:rPr>
        <w:t xml:space="preserve">nuevos servicios </w:t>
      </w:r>
      <w:r w:rsidR="00E95D20" w:rsidRPr="00DB14EB">
        <w:rPr>
          <w:rFonts w:ascii="Helvetica" w:hAnsi="Helvetica" w:cs="Arial"/>
          <w:b/>
          <w:i/>
          <w:iCs/>
          <w:color w:val="000000"/>
          <w:sz w:val="20"/>
        </w:rPr>
        <w:t>y proveedores</w:t>
      </w:r>
    </w:p>
    <w:p w:rsidR="00591913" w:rsidRPr="00DB14EB" w:rsidRDefault="00E95D20" w:rsidP="00591913">
      <w:pPr>
        <w:spacing w:after="120" w:line="240" w:lineRule="auto"/>
        <w:jc w:val="both"/>
        <w:rPr>
          <w:rFonts w:ascii="Helvetica" w:hAnsi="Helvetica" w:cs="Arial"/>
          <w:bCs/>
          <w:color w:val="000000"/>
          <w:sz w:val="20"/>
        </w:rPr>
      </w:pPr>
      <w:r w:rsidRPr="00DB14EB">
        <w:rPr>
          <w:rFonts w:ascii="Helvetica" w:hAnsi="Helvetica" w:cs="Arial"/>
          <w:bCs/>
          <w:color w:val="000000"/>
          <w:sz w:val="20"/>
        </w:rPr>
        <w:t>Esta última sesión de la reunión se realizó con presentaciones de bancos centrales de Argentina, Colombia, Costa Rica, Curazao y San Martín, Jamaica y España.</w:t>
      </w:r>
    </w:p>
    <w:p w:rsidR="00591913" w:rsidRPr="00DB14EB" w:rsidRDefault="00E95D20" w:rsidP="00C911A0">
      <w:pPr>
        <w:spacing w:after="120" w:line="240" w:lineRule="auto"/>
        <w:jc w:val="both"/>
        <w:rPr>
          <w:rFonts w:ascii="Helvetica" w:hAnsi="Helvetica" w:cs="Arial"/>
          <w:bCs/>
          <w:color w:val="000000"/>
          <w:sz w:val="20"/>
        </w:rPr>
      </w:pPr>
      <w:r w:rsidRPr="00DB14EB">
        <w:rPr>
          <w:rFonts w:ascii="Helvetica" w:hAnsi="Helvetica" w:cs="Arial"/>
          <w:bCs/>
          <w:color w:val="000000"/>
          <w:sz w:val="20"/>
        </w:rPr>
        <w:t>Durante la sesión, se analizó en profundidad la respuesta del banco central a las innovaciones de pago, incluido el sandboxing, la coordinación entre autoridades, las nuevas herramientas de regulación, entre otros desarrollos para abordar la naturaleza de los nuevos participantes y los nuevos productos de pago y modelos de negocio.</w:t>
      </w:r>
    </w:p>
    <w:p w:rsidR="00591913" w:rsidRPr="00DB14EB" w:rsidRDefault="001A1478" w:rsidP="00591913">
      <w:pPr>
        <w:spacing w:after="120" w:line="240" w:lineRule="auto"/>
        <w:jc w:val="both"/>
        <w:rPr>
          <w:rFonts w:ascii="Helvetica" w:hAnsi="Helvetica" w:cs="Arial"/>
          <w:bCs/>
          <w:color w:val="000000"/>
          <w:sz w:val="20"/>
        </w:rPr>
      </w:pPr>
      <w:r w:rsidRPr="00DB14EB">
        <w:rPr>
          <w:rFonts w:ascii="Helvetica" w:hAnsi="Helvetica" w:cs="Arial"/>
          <w:bCs/>
          <w:color w:val="000000"/>
          <w:sz w:val="20"/>
        </w:rPr>
        <w:t xml:space="preserve">Uno de los principales objetivos que deben perseguir los bancos centrales para dar una respuesta a lo anterior es fortalecer un panorama de pagos digitales eficiente, seguro y relevante, buscando mejores estándares de competencia, acceso, interoperabilidad, funcionalidad y gestión de riesgos. </w:t>
      </w:r>
      <w:r w:rsidR="00F1268E">
        <w:rPr>
          <w:rFonts w:ascii="Helvetica" w:hAnsi="Helvetica" w:cs="Arial"/>
          <w:bCs/>
          <w:color w:val="000000"/>
          <w:sz w:val="20"/>
        </w:rPr>
        <w:t>Alcanzar un</w:t>
      </w:r>
      <w:r w:rsidRPr="00DB14EB">
        <w:rPr>
          <w:rFonts w:ascii="Helvetica" w:hAnsi="Helvetica" w:cs="Arial"/>
          <w:bCs/>
          <w:color w:val="000000"/>
          <w:sz w:val="20"/>
        </w:rPr>
        <w:t xml:space="preserve"> campo de juego nivelado, </w:t>
      </w:r>
      <w:r w:rsidR="00F1268E">
        <w:rPr>
          <w:rFonts w:ascii="Helvetica" w:hAnsi="Helvetica" w:cs="Arial"/>
          <w:bCs/>
          <w:color w:val="000000"/>
          <w:sz w:val="20"/>
        </w:rPr>
        <w:t xml:space="preserve">hará que </w:t>
      </w:r>
      <w:r w:rsidRPr="00DB14EB">
        <w:rPr>
          <w:rFonts w:ascii="Helvetica" w:hAnsi="Helvetica" w:cs="Arial"/>
          <w:bCs/>
          <w:color w:val="000000"/>
          <w:sz w:val="20"/>
        </w:rPr>
        <w:t>los bancos centrales contribu</w:t>
      </w:r>
      <w:r w:rsidR="00F1268E">
        <w:rPr>
          <w:rFonts w:ascii="Helvetica" w:hAnsi="Helvetica" w:cs="Arial"/>
          <w:bCs/>
          <w:color w:val="000000"/>
          <w:sz w:val="20"/>
        </w:rPr>
        <w:t>ya</w:t>
      </w:r>
      <w:r w:rsidRPr="00DB14EB">
        <w:rPr>
          <w:rFonts w:ascii="Helvetica" w:hAnsi="Helvetica" w:cs="Arial"/>
          <w:bCs/>
          <w:color w:val="000000"/>
          <w:sz w:val="20"/>
        </w:rPr>
        <w:t>n a producir efectos positivos en términos de inclusión, formalización y trazabilidad, aumentando así el bienestar económico.</w:t>
      </w:r>
    </w:p>
    <w:p w:rsidR="00C911A0" w:rsidRPr="00DB14EB" w:rsidRDefault="009938AE" w:rsidP="00666019">
      <w:pPr>
        <w:spacing w:after="120" w:line="240" w:lineRule="auto"/>
        <w:jc w:val="both"/>
        <w:rPr>
          <w:rFonts w:ascii="Helvetica" w:hAnsi="Helvetica" w:cs="Helvetica"/>
          <w:bCs/>
          <w:sz w:val="20"/>
          <w:szCs w:val="20"/>
        </w:rPr>
      </w:pPr>
      <w:r w:rsidRPr="00DB14EB">
        <w:rPr>
          <w:rFonts w:ascii="Helvetica" w:hAnsi="Helvetica" w:cs="Arial"/>
          <w:bCs/>
          <w:color w:val="000000"/>
          <w:sz w:val="20"/>
        </w:rPr>
        <w:t>Dada la variedad de acciones que los bancos centrales podrían avanzar para permitir un marco regulatorio para las innovaciones de pago, la discusión de la sesión concluyó con una amplia pregunta sobre qué tan rápido los bancos centrales podrían adaptarse y reaccionar a las soluciones innovadoras desarrolladas por los nuevos entrantes. A este respecto, los participantes concluyeron que esto se está convirtiendo en un tema prioritario en la estrategia de los bancos centrales regionales, con perspectivas de llamar la atención de los gobernadores de los bancos centrales en un futuro cercano.</w:t>
      </w:r>
    </w:p>
    <w:tbl>
      <w:tblPr>
        <w:tblStyle w:val="Tablaconcuadrcula"/>
        <w:tblW w:w="0" w:type="auto"/>
        <w:shd w:val="clear" w:color="auto" w:fill="1F3864" w:themeFill="accent1" w:themeFillShade="80"/>
        <w:tblLook w:val="04A0" w:firstRow="1" w:lastRow="0" w:firstColumn="1" w:lastColumn="0" w:noHBand="0" w:noVBand="1"/>
      </w:tblPr>
      <w:tblGrid>
        <w:gridCol w:w="8828"/>
      </w:tblGrid>
      <w:tr w:rsidR="00020914" w:rsidRPr="00DB14EB" w:rsidTr="009E79EE">
        <w:tc>
          <w:tcPr>
            <w:tcW w:w="8828" w:type="dxa"/>
            <w:shd w:val="clear" w:color="auto" w:fill="1F3864" w:themeFill="accent1" w:themeFillShade="80"/>
          </w:tcPr>
          <w:bookmarkEnd w:id="2"/>
          <w:p w:rsidR="00020914" w:rsidRPr="00DB14EB" w:rsidRDefault="009938AE" w:rsidP="009E79EE">
            <w:pPr>
              <w:rPr>
                <w:rFonts w:ascii="Helvetica" w:hAnsi="Helvetica" w:cs="Arial"/>
                <w:b/>
                <w:sz w:val="20"/>
                <w:szCs w:val="20"/>
              </w:rPr>
            </w:pPr>
            <w:r w:rsidRPr="00DB14EB">
              <w:rPr>
                <w:rFonts w:ascii="Helvetica" w:hAnsi="Helvetica" w:cs="Arial"/>
                <w:b/>
                <w:sz w:val="20"/>
                <w:szCs w:val="20"/>
              </w:rPr>
              <w:t>Antecedentes</w:t>
            </w:r>
          </w:p>
        </w:tc>
      </w:tr>
    </w:tbl>
    <w:p w:rsidR="00536A5F" w:rsidRPr="00DB14EB" w:rsidRDefault="009938AE" w:rsidP="00592DF8">
      <w:pPr>
        <w:spacing w:before="120" w:after="120"/>
        <w:jc w:val="both"/>
        <w:rPr>
          <w:rFonts w:ascii="Helvetica" w:hAnsi="Helvetica" w:cs="Arial"/>
          <w:sz w:val="20"/>
        </w:rPr>
      </w:pPr>
      <w:r w:rsidRPr="00DB14EB">
        <w:rPr>
          <w:rFonts w:ascii="Helvetica" w:hAnsi="Helvetica" w:cs="Arial"/>
          <w:sz w:val="20"/>
          <w:szCs w:val="20"/>
        </w:rPr>
        <w:t>CEMLA, el Banco Mundial y el CPMI (BPI) organizan la Semana de Pagos Regionales desde 2001, con el objetivo de reunir a los jefes de pagos e infraestructuras de mercado de los bancos centrales de América Latina y el Caribe, y discutir los desarrollos internacionales clave sobre la regulación, supervisión, operación y actividades catalíticas que son relevantes para la comunidad regional de pagos.</w:t>
      </w:r>
    </w:p>
    <w:p w:rsidR="00536A5F" w:rsidRPr="00DB14EB" w:rsidRDefault="00536A5F" w:rsidP="00592DF8">
      <w:pPr>
        <w:spacing w:before="120" w:after="120"/>
        <w:jc w:val="both"/>
        <w:rPr>
          <w:rFonts w:ascii="Helvetica" w:hAnsi="Helvetica" w:cs="Arial"/>
          <w:sz w:val="20"/>
        </w:rPr>
      </w:pPr>
    </w:p>
    <w:tbl>
      <w:tblPr>
        <w:tblStyle w:val="Tablaconcuadrcula"/>
        <w:tblW w:w="0" w:type="auto"/>
        <w:shd w:val="clear" w:color="auto" w:fill="1F3864" w:themeFill="accent1" w:themeFillShade="80"/>
        <w:tblLook w:val="04A0" w:firstRow="1" w:lastRow="0" w:firstColumn="1" w:lastColumn="0" w:noHBand="0" w:noVBand="1"/>
      </w:tblPr>
      <w:tblGrid>
        <w:gridCol w:w="8828"/>
      </w:tblGrid>
      <w:tr w:rsidR="00020914" w:rsidRPr="00DB14EB" w:rsidTr="009E79EE">
        <w:tc>
          <w:tcPr>
            <w:tcW w:w="8828" w:type="dxa"/>
            <w:shd w:val="clear" w:color="auto" w:fill="1F3864" w:themeFill="accent1" w:themeFillShade="80"/>
          </w:tcPr>
          <w:p w:rsidR="00020914" w:rsidRPr="00DB14EB" w:rsidRDefault="00DF02FB" w:rsidP="009E79EE">
            <w:pPr>
              <w:rPr>
                <w:rFonts w:ascii="Helvetica" w:hAnsi="Helvetica" w:cs="Arial"/>
                <w:b/>
                <w:sz w:val="20"/>
                <w:szCs w:val="20"/>
              </w:rPr>
            </w:pPr>
            <w:r w:rsidRPr="00DB14EB">
              <w:rPr>
                <w:rFonts w:ascii="Helvetica" w:hAnsi="Helvetica" w:cs="Arial"/>
                <w:b/>
                <w:sz w:val="20"/>
                <w:szCs w:val="20"/>
              </w:rPr>
              <w:t>Información relacionada</w:t>
            </w:r>
          </w:p>
        </w:tc>
      </w:tr>
    </w:tbl>
    <w:p w:rsidR="00853616" w:rsidRPr="00F1268E" w:rsidRDefault="00F1268E" w:rsidP="00747A0C">
      <w:pPr>
        <w:spacing w:before="120" w:after="120"/>
        <w:jc w:val="both"/>
        <w:rPr>
          <w:rFonts w:ascii="Helvetica" w:hAnsi="Helvetica" w:cs="Arial"/>
          <w:sz w:val="20"/>
          <w:lang w:val="pt-PT"/>
        </w:rPr>
      </w:pPr>
      <w:r w:rsidRPr="00F1268E">
        <w:rPr>
          <w:rFonts w:ascii="Helvetica" w:hAnsi="Helvetica" w:cs="Arial"/>
          <w:sz w:val="20"/>
          <w:lang w:val="pt-PT"/>
        </w:rPr>
        <w:t>Fo</w:t>
      </w:r>
      <w:r>
        <w:rPr>
          <w:rFonts w:ascii="Helvetica" w:hAnsi="Helvetica" w:cs="Arial"/>
          <w:sz w:val="20"/>
          <w:lang w:val="pt-PT"/>
        </w:rPr>
        <w:t>ro de Pagos</w:t>
      </w:r>
      <w:bookmarkStart w:id="4" w:name="_GoBack"/>
      <w:bookmarkEnd w:id="4"/>
      <w:r w:rsidR="00726ABA" w:rsidRPr="00F1268E">
        <w:rPr>
          <w:rFonts w:ascii="Helvetica" w:hAnsi="Helvetica" w:cs="Arial"/>
          <w:sz w:val="20"/>
          <w:lang w:val="pt-PT"/>
        </w:rPr>
        <w:t xml:space="preserve">: </w:t>
      </w:r>
      <w:hyperlink r:id="rId8" w:history="1">
        <w:r w:rsidR="00726ABA" w:rsidRPr="00F1268E">
          <w:rPr>
            <w:rStyle w:val="Hipervnculo"/>
            <w:rFonts w:ascii="Helvetica" w:hAnsi="Helvetica" w:cs="Arial"/>
            <w:sz w:val="20"/>
            <w:lang w:val="pt-PT"/>
          </w:rPr>
          <w:t>https://www.cemla.org/forodepagos/</w:t>
        </w:r>
      </w:hyperlink>
    </w:p>
    <w:p w:rsidR="00747A0C" w:rsidRPr="00971045" w:rsidRDefault="00747A0C" w:rsidP="00747A0C">
      <w:pPr>
        <w:spacing w:before="120" w:after="120"/>
        <w:jc w:val="both"/>
        <w:rPr>
          <w:rFonts w:ascii="Helvetica" w:hAnsi="Helvetica" w:cs="Arial"/>
          <w:sz w:val="20"/>
          <w:lang w:val="pt-PT"/>
        </w:rPr>
      </w:pPr>
      <w:r w:rsidRPr="00971045">
        <w:rPr>
          <w:rFonts w:ascii="Helvetica" w:hAnsi="Helvetica" w:cs="Arial"/>
          <w:sz w:val="20"/>
          <w:lang w:val="pt-PT"/>
        </w:rPr>
        <w:t>CPMI</w:t>
      </w:r>
      <w:r w:rsidR="00726ABA" w:rsidRPr="00971045">
        <w:rPr>
          <w:rFonts w:ascii="Helvetica" w:hAnsi="Helvetica" w:cs="Arial"/>
          <w:sz w:val="20"/>
          <w:lang w:val="pt-PT"/>
        </w:rPr>
        <w:t xml:space="preserve"> (BIS): </w:t>
      </w:r>
      <w:r w:rsidRPr="00971045">
        <w:rPr>
          <w:rFonts w:ascii="Helvetica" w:hAnsi="Helvetica" w:cs="Arial"/>
          <w:sz w:val="20"/>
          <w:lang w:val="pt-PT"/>
        </w:rPr>
        <w:t xml:space="preserve"> </w:t>
      </w:r>
      <w:hyperlink r:id="rId9" w:history="1">
        <w:r w:rsidR="00726ABA" w:rsidRPr="00971045">
          <w:rPr>
            <w:rStyle w:val="Hipervnculo"/>
            <w:rFonts w:ascii="Helvetica" w:hAnsi="Helvetica" w:cs="Arial"/>
            <w:sz w:val="20"/>
            <w:lang w:val="pt-PT"/>
          </w:rPr>
          <w:t>https://www.bis.org/cpmi/about/overview.htm?m=3%7C16%7C691</w:t>
        </w:r>
      </w:hyperlink>
    </w:p>
    <w:p w:rsidR="00726ABA" w:rsidRPr="00971045" w:rsidRDefault="00726ABA" w:rsidP="00747A0C">
      <w:pPr>
        <w:spacing w:before="120" w:after="120"/>
        <w:jc w:val="both"/>
        <w:rPr>
          <w:rFonts w:ascii="Helvetica" w:hAnsi="Helvetica" w:cs="Arial"/>
          <w:sz w:val="20"/>
          <w:lang w:val="en-US"/>
        </w:rPr>
      </w:pPr>
      <w:r w:rsidRPr="00971045">
        <w:rPr>
          <w:rFonts w:ascii="Helvetica" w:hAnsi="Helvetica" w:cs="Arial"/>
          <w:sz w:val="20"/>
          <w:lang w:val="en-US"/>
        </w:rPr>
        <w:t xml:space="preserve">World Bank: </w:t>
      </w:r>
      <w:hyperlink r:id="rId10" w:history="1">
        <w:r w:rsidRPr="00971045">
          <w:rPr>
            <w:rStyle w:val="Hipervnculo"/>
            <w:rFonts w:ascii="Helvetica" w:hAnsi="Helvetica" w:cs="Arial"/>
            <w:sz w:val="20"/>
            <w:lang w:val="en-US"/>
          </w:rPr>
          <w:t>https://www.worldbank.org/en/topic/paymentsystemsremittances</w:t>
        </w:r>
      </w:hyperlink>
    </w:p>
    <w:p w:rsidR="00726ABA" w:rsidRPr="00971045" w:rsidRDefault="00726ABA" w:rsidP="00747A0C">
      <w:pPr>
        <w:spacing w:before="120" w:after="120"/>
        <w:jc w:val="both"/>
        <w:rPr>
          <w:rFonts w:ascii="Helvetica" w:hAnsi="Helvetica" w:cs="Arial"/>
          <w:sz w:val="20"/>
          <w:lang w:val="en-US"/>
        </w:rPr>
      </w:pPr>
    </w:p>
    <w:sectPr w:rsidR="00726ABA" w:rsidRPr="00971045" w:rsidSect="00020914">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721" w:rsidRDefault="00055721" w:rsidP="006C4580">
      <w:pPr>
        <w:spacing w:after="0" w:line="240" w:lineRule="auto"/>
      </w:pPr>
      <w:r>
        <w:separator/>
      </w:r>
    </w:p>
  </w:endnote>
  <w:endnote w:type="continuationSeparator" w:id="0">
    <w:p w:rsidR="00055721" w:rsidRDefault="00055721" w:rsidP="006C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585058"/>
      <w:docPartObj>
        <w:docPartGallery w:val="Page Numbers (Bottom of Page)"/>
        <w:docPartUnique/>
      </w:docPartObj>
    </w:sdtPr>
    <w:sdtEndPr>
      <w:rPr>
        <w:rFonts w:ascii="Helvetica" w:hAnsi="Helvetica" w:cs="Helvetica"/>
      </w:rPr>
    </w:sdtEndPr>
    <w:sdtContent>
      <w:p w:rsidR="00191305" w:rsidRPr="00020914" w:rsidRDefault="00191305">
        <w:pPr>
          <w:pStyle w:val="Piedepgina"/>
          <w:jc w:val="right"/>
          <w:rPr>
            <w:rFonts w:ascii="Helvetica" w:hAnsi="Helvetica" w:cs="Helvetica"/>
          </w:rPr>
        </w:pPr>
        <w:r w:rsidRPr="00020914">
          <w:rPr>
            <w:rFonts w:ascii="Helvetica" w:hAnsi="Helvetica" w:cs="Helvetica"/>
          </w:rPr>
          <w:fldChar w:fldCharType="begin"/>
        </w:r>
        <w:r w:rsidRPr="00020914">
          <w:rPr>
            <w:rFonts w:ascii="Helvetica" w:hAnsi="Helvetica" w:cs="Helvetica"/>
          </w:rPr>
          <w:instrText>PAGE   \* MERGEFORMAT</w:instrText>
        </w:r>
        <w:r w:rsidRPr="00020914">
          <w:rPr>
            <w:rFonts w:ascii="Helvetica" w:hAnsi="Helvetica" w:cs="Helvetica"/>
          </w:rPr>
          <w:fldChar w:fldCharType="separate"/>
        </w:r>
        <w:r w:rsidRPr="00020914">
          <w:rPr>
            <w:rFonts w:ascii="Helvetica" w:hAnsi="Helvetica" w:cs="Helvetica"/>
            <w:lang w:val="es-ES"/>
          </w:rPr>
          <w:t>2</w:t>
        </w:r>
        <w:r w:rsidRPr="00020914">
          <w:rPr>
            <w:rFonts w:ascii="Helvetica" w:hAnsi="Helvetica" w:cs="Helvetica"/>
          </w:rPr>
          <w:fldChar w:fldCharType="end"/>
        </w:r>
      </w:p>
    </w:sdtContent>
  </w:sdt>
  <w:p w:rsidR="00191305" w:rsidRDefault="001913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721" w:rsidRDefault="00055721" w:rsidP="006C4580">
      <w:pPr>
        <w:spacing w:after="0" w:line="240" w:lineRule="auto"/>
      </w:pPr>
      <w:r>
        <w:separator/>
      </w:r>
    </w:p>
  </w:footnote>
  <w:footnote w:type="continuationSeparator" w:id="0">
    <w:p w:rsidR="00055721" w:rsidRDefault="00055721" w:rsidP="006C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305" w:rsidRDefault="00191305" w:rsidP="00F96002">
    <w:pPr>
      <w:pStyle w:val="Encabezado"/>
      <w:jc w:val="center"/>
      <w:rPr>
        <w:rFonts w:ascii="Helvetica" w:hAnsi="Helvetica" w:cs="Helvetica"/>
        <w:b/>
        <w:sz w:val="24"/>
        <w:lang w:val="en-US"/>
      </w:rPr>
    </w:pPr>
  </w:p>
  <w:p w:rsidR="00191305" w:rsidRDefault="00191305" w:rsidP="00020914">
    <w:pPr>
      <w:pStyle w:val="Encabezado"/>
      <w:jc w:val="right"/>
      <w:rPr>
        <w:rFonts w:ascii="Helvetica" w:hAnsi="Helvetica" w:cs="Helvetica"/>
        <w:sz w:val="24"/>
        <w:lang w:val="en-US"/>
      </w:rPr>
    </w:pPr>
    <w:r w:rsidRPr="00020914">
      <w:rPr>
        <w:rFonts w:ascii="Helvetica" w:hAnsi="Helvetica" w:cs="Helvetica"/>
        <w:sz w:val="24"/>
        <w:lang w:val="en-US"/>
      </w:rPr>
      <w:t xml:space="preserve">CEMLA web site </w:t>
    </w:r>
    <w:r>
      <w:rPr>
        <w:rFonts w:ascii="Helvetica" w:hAnsi="Helvetica" w:cs="Helvetica"/>
        <w:sz w:val="24"/>
        <w:lang w:val="en-US"/>
      </w:rPr>
      <w:t>– GIMF events</w:t>
    </w:r>
  </w:p>
  <w:p w:rsidR="00191305" w:rsidRPr="00020914" w:rsidRDefault="00191305" w:rsidP="00020914">
    <w:pPr>
      <w:pStyle w:val="Encabezado"/>
      <w:jc w:val="right"/>
      <w:rPr>
        <w:rFonts w:ascii="Helvetica" w:hAnsi="Helvetica" w:cs="Helvetica"/>
        <w:sz w:val="24"/>
        <w:lang w:val="en-US"/>
      </w:rPr>
    </w:pPr>
    <w:r>
      <w:rPr>
        <w:rFonts w:ascii="Helvetica" w:hAnsi="Helvetica" w:cs="Helvetica"/>
        <w:sz w:val="24"/>
        <w:lang w:val="en-US"/>
      </w:rPr>
      <w:t>P</w:t>
    </w:r>
    <w:r w:rsidRPr="00020914">
      <w:rPr>
        <w:rFonts w:ascii="Helvetica" w:hAnsi="Helvetica" w:cs="Helvetica"/>
        <w:sz w:val="24"/>
        <w:lang w:val="en-US"/>
      </w:rPr>
      <w:t>ublic summary/report</w:t>
    </w:r>
  </w:p>
  <w:p w:rsidR="00191305" w:rsidRPr="00020914" w:rsidRDefault="00191305" w:rsidP="006C4580">
    <w:pPr>
      <w:pStyle w:val="Encabezado"/>
      <w:jc w:val="right"/>
      <w:rPr>
        <w:rFonts w:ascii="Helvetica" w:hAnsi="Helvetica" w:cs="Helvetica"/>
        <w:i/>
      </w:rPr>
    </w:pPr>
    <w:r w:rsidRPr="00020914">
      <w:rPr>
        <w:rFonts w:ascii="Helvetica" w:hAnsi="Helvetica" w:cs="Helvetica"/>
        <w:i/>
      </w:rPr>
      <w:t>[</w:t>
    </w:r>
    <w:r>
      <w:rPr>
        <w:rFonts w:ascii="Helvetica" w:hAnsi="Helvetica" w:cs="Helvetica"/>
        <w:i/>
      </w:rPr>
      <w:t>06/12/19</w:t>
    </w:r>
    <w:r w:rsidRPr="00020914">
      <w:rPr>
        <w:rFonts w:ascii="Helvetica" w:hAnsi="Helvetica" w:cs="Helvetica"/>
        <w:i/>
      </w:rPr>
      <w:t>]</w:t>
    </w:r>
  </w:p>
  <w:p w:rsidR="00191305" w:rsidRPr="006C4580" w:rsidRDefault="00191305" w:rsidP="006C4580">
    <w:pPr>
      <w:pStyle w:val="Encabezado"/>
      <w:jc w:val="right"/>
      <w:rPr>
        <w:rFonts w:ascii="Helvetica" w:hAnsi="Helvetica" w:cs="Helvetica"/>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305" w:rsidRDefault="004C74FD" w:rsidP="00020914">
    <w:pPr>
      <w:pStyle w:val="Encabezado"/>
      <w:tabs>
        <w:tab w:val="clear" w:pos="4419"/>
        <w:tab w:val="clear" w:pos="8838"/>
        <w:tab w:val="left" w:pos="5580"/>
      </w:tabs>
    </w:pPr>
    <w:r>
      <w:rPr>
        <w:noProof/>
      </w:rPr>
      <w:drawing>
        <wp:inline distT="0" distB="0" distL="0" distR="0">
          <wp:extent cx="1697752" cy="3879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 word.png"/>
                  <pic:cNvPicPr/>
                </pic:nvPicPr>
                <pic:blipFill>
                  <a:blip r:embed="rId1">
                    <a:extLst>
                      <a:ext uri="{28A0092B-C50C-407E-A947-70E740481C1C}">
                        <a14:useLocalDpi xmlns:a14="http://schemas.microsoft.com/office/drawing/2010/main" val="0"/>
                      </a:ext>
                    </a:extLst>
                  </a:blip>
                  <a:stretch>
                    <a:fillRect/>
                  </a:stretch>
                </pic:blipFill>
                <pic:spPr>
                  <a:xfrm>
                    <a:off x="0" y="0"/>
                    <a:ext cx="1807068" cy="412905"/>
                  </a:xfrm>
                  <a:prstGeom prst="rect">
                    <a:avLst/>
                  </a:prstGeom>
                </pic:spPr>
              </pic:pic>
            </a:graphicData>
          </a:graphic>
        </wp:inline>
      </w:drawing>
    </w:r>
    <w:r w:rsidR="00191305">
      <w:tab/>
    </w:r>
  </w:p>
  <w:p w:rsidR="00191305" w:rsidRDefault="00191305" w:rsidP="00020914">
    <w:pPr>
      <w:pStyle w:val="Encabezado"/>
      <w:rPr>
        <w:rFonts w:ascii="Helvetica" w:hAnsi="Helvetica" w:cs="Helvetica"/>
        <w:b/>
        <w:sz w:val="24"/>
        <w:lang w:val="en-US"/>
      </w:rPr>
    </w:pPr>
  </w:p>
  <w:p w:rsidR="00191305" w:rsidRPr="00023574" w:rsidRDefault="00023574" w:rsidP="00020914">
    <w:pPr>
      <w:pStyle w:val="Encabezado"/>
      <w:rPr>
        <w:rFonts w:ascii="Helvetica" w:hAnsi="Helvetica" w:cs="Helvetica"/>
        <w:b/>
        <w:sz w:val="28"/>
      </w:rPr>
    </w:pPr>
    <w:r w:rsidRPr="00023574">
      <w:rPr>
        <w:rFonts w:ascii="Helvetica" w:hAnsi="Helvetica" w:cs="Helvetica"/>
        <w:b/>
        <w:sz w:val="28"/>
      </w:rPr>
      <w:t xml:space="preserve">Sitio web de </w:t>
    </w:r>
    <w:r w:rsidR="00191305" w:rsidRPr="00023574">
      <w:rPr>
        <w:rFonts w:ascii="Helvetica" w:hAnsi="Helvetica" w:cs="Helvetica"/>
        <w:b/>
        <w:sz w:val="28"/>
      </w:rPr>
      <w:t>CEMLA</w:t>
    </w:r>
  </w:p>
  <w:p w:rsidR="00191305" w:rsidRPr="00023574" w:rsidRDefault="00023574" w:rsidP="00020914">
    <w:pPr>
      <w:pStyle w:val="Encabezado"/>
      <w:rPr>
        <w:rFonts w:ascii="Helvetica" w:hAnsi="Helvetica" w:cs="Helvetica"/>
        <w:b/>
        <w:sz w:val="28"/>
      </w:rPr>
    </w:pPr>
    <w:r w:rsidRPr="00023574">
      <w:rPr>
        <w:rFonts w:ascii="Helvetica" w:hAnsi="Helvetica" w:cs="Helvetica"/>
        <w:b/>
        <w:sz w:val="28"/>
      </w:rPr>
      <w:t xml:space="preserve">Eventos </w:t>
    </w:r>
    <w:r w:rsidR="00191305" w:rsidRPr="00023574">
      <w:rPr>
        <w:rFonts w:ascii="Helvetica" w:hAnsi="Helvetica" w:cs="Helvetica"/>
        <w:b/>
        <w:sz w:val="28"/>
      </w:rPr>
      <w:t>GIMF</w:t>
    </w:r>
  </w:p>
  <w:p w:rsidR="00191305" w:rsidRPr="00DB14EB" w:rsidRDefault="00023574" w:rsidP="00020914">
    <w:pPr>
      <w:pStyle w:val="Encabezado"/>
      <w:jc w:val="center"/>
      <w:rPr>
        <w:rFonts w:ascii="Helvetica" w:hAnsi="Helvetica" w:cs="Helvetica"/>
        <w:b/>
        <w:sz w:val="28"/>
      </w:rPr>
    </w:pPr>
    <w:r w:rsidRPr="00DB14EB">
      <w:rPr>
        <w:rFonts w:ascii="Helvetica" w:hAnsi="Helvetica" w:cs="Helvetica"/>
        <w:b/>
        <w:sz w:val="28"/>
      </w:rPr>
      <w:t>Resumen p</w:t>
    </w:r>
    <w:r w:rsidR="00DB14EB" w:rsidRPr="00DB14EB">
      <w:rPr>
        <w:rFonts w:ascii="Helvetica" w:hAnsi="Helvetica" w:cs="Helvetica"/>
        <w:b/>
        <w:sz w:val="28"/>
      </w:rPr>
      <w:t>ú</w:t>
    </w:r>
    <w:r w:rsidR="00191305" w:rsidRPr="00DB14EB">
      <w:rPr>
        <w:rFonts w:ascii="Helvetica" w:hAnsi="Helvetica" w:cs="Helvetica"/>
        <w:b/>
        <w:sz w:val="28"/>
      </w:rPr>
      <w:t>blic</w:t>
    </w:r>
    <w:r w:rsidRPr="00DB14EB">
      <w:rPr>
        <w:rFonts w:ascii="Helvetica" w:hAnsi="Helvetica" w:cs="Helvetica"/>
        <w:b/>
        <w:sz w:val="28"/>
      </w:rPr>
      <w:t xml:space="preserve">o </w:t>
    </w:r>
    <w:r w:rsidR="00191305" w:rsidRPr="00DB14EB">
      <w:rPr>
        <w:rFonts w:ascii="Helvetica" w:hAnsi="Helvetica" w:cs="Helvetica"/>
        <w:b/>
        <w:sz w:val="28"/>
      </w:rPr>
      <w:t>/</w:t>
    </w:r>
    <w:r w:rsidRPr="00DB14EB">
      <w:rPr>
        <w:rFonts w:ascii="Helvetica" w:hAnsi="Helvetica" w:cs="Helvetica"/>
        <w:b/>
        <w:sz w:val="28"/>
      </w:rPr>
      <w:t xml:space="preserve"> informe</w:t>
    </w:r>
  </w:p>
  <w:p w:rsidR="00191305" w:rsidRPr="00020914" w:rsidRDefault="00191305" w:rsidP="00020914">
    <w:pPr>
      <w:pStyle w:val="Encabezado"/>
      <w:tabs>
        <w:tab w:val="clear" w:pos="4419"/>
        <w:tab w:val="clear" w:pos="8838"/>
        <w:tab w:val="left" w:pos="5580"/>
      </w:tabs>
      <w:rPr>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931"/>
    <w:multiLevelType w:val="hybridMultilevel"/>
    <w:tmpl w:val="F56AA05C"/>
    <w:lvl w:ilvl="0" w:tplc="781C28C4">
      <w:start w:val="1"/>
      <w:numFmt w:val="decimal"/>
      <w:lvlText w:val="%1."/>
      <w:lvlJc w:val="left"/>
      <w:pPr>
        <w:tabs>
          <w:tab w:val="num" w:pos="720"/>
        </w:tabs>
        <w:ind w:left="720" w:hanging="360"/>
      </w:pPr>
    </w:lvl>
    <w:lvl w:ilvl="1" w:tplc="4E7A37FE">
      <w:numFmt w:val="bullet"/>
      <w:lvlText w:val="•"/>
      <w:lvlJc w:val="left"/>
      <w:pPr>
        <w:tabs>
          <w:tab w:val="num" w:pos="1440"/>
        </w:tabs>
        <w:ind w:left="1440" w:hanging="360"/>
      </w:pPr>
      <w:rPr>
        <w:rFonts w:ascii="Arial" w:hAnsi="Arial" w:hint="default"/>
      </w:rPr>
    </w:lvl>
    <w:lvl w:ilvl="2" w:tplc="77B84D36" w:tentative="1">
      <w:start w:val="1"/>
      <w:numFmt w:val="decimal"/>
      <w:lvlText w:val="%3."/>
      <w:lvlJc w:val="left"/>
      <w:pPr>
        <w:tabs>
          <w:tab w:val="num" w:pos="2160"/>
        </w:tabs>
        <w:ind w:left="2160" w:hanging="360"/>
      </w:pPr>
    </w:lvl>
    <w:lvl w:ilvl="3" w:tplc="68920C94" w:tentative="1">
      <w:start w:val="1"/>
      <w:numFmt w:val="decimal"/>
      <w:lvlText w:val="%4."/>
      <w:lvlJc w:val="left"/>
      <w:pPr>
        <w:tabs>
          <w:tab w:val="num" w:pos="2880"/>
        </w:tabs>
        <w:ind w:left="2880" w:hanging="360"/>
      </w:pPr>
    </w:lvl>
    <w:lvl w:ilvl="4" w:tplc="C7C426FC" w:tentative="1">
      <w:start w:val="1"/>
      <w:numFmt w:val="decimal"/>
      <w:lvlText w:val="%5."/>
      <w:lvlJc w:val="left"/>
      <w:pPr>
        <w:tabs>
          <w:tab w:val="num" w:pos="3600"/>
        </w:tabs>
        <w:ind w:left="3600" w:hanging="360"/>
      </w:pPr>
    </w:lvl>
    <w:lvl w:ilvl="5" w:tplc="178EF45A" w:tentative="1">
      <w:start w:val="1"/>
      <w:numFmt w:val="decimal"/>
      <w:lvlText w:val="%6."/>
      <w:lvlJc w:val="left"/>
      <w:pPr>
        <w:tabs>
          <w:tab w:val="num" w:pos="4320"/>
        </w:tabs>
        <w:ind w:left="4320" w:hanging="360"/>
      </w:pPr>
    </w:lvl>
    <w:lvl w:ilvl="6" w:tplc="B77C97B8" w:tentative="1">
      <w:start w:val="1"/>
      <w:numFmt w:val="decimal"/>
      <w:lvlText w:val="%7."/>
      <w:lvlJc w:val="left"/>
      <w:pPr>
        <w:tabs>
          <w:tab w:val="num" w:pos="5040"/>
        </w:tabs>
        <w:ind w:left="5040" w:hanging="360"/>
      </w:pPr>
    </w:lvl>
    <w:lvl w:ilvl="7" w:tplc="0C4AB45E" w:tentative="1">
      <w:start w:val="1"/>
      <w:numFmt w:val="decimal"/>
      <w:lvlText w:val="%8."/>
      <w:lvlJc w:val="left"/>
      <w:pPr>
        <w:tabs>
          <w:tab w:val="num" w:pos="5760"/>
        </w:tabs>
        <w:ind w:left="5760" w:hanging="360"/>
      </w:pPr>
    </w:lvl>
    <w:lvl w:ilvl="8" w:tplc="2A1851C6" w:tentative="1">
      <w:start w:val="1"/>
      <w:numFmt w:val="decimal"/>
      <w:lvlText w:val="%9."/>
      <w:lvlJc w:val="left"/>
      <w:pPr>
        <w:tabs>
          <w:tab w:val="num" w:pos="6480"/>
        </w:tabs>
        <w:ind w:left="6480" w:hanging="360"/>
      </w:pPr>
    </w:lvl>
  </w:abstractNum>
  <w:abstractNum w:abstractNumId="1" w15:restartNumberingAfterBreak="0">
    <w:nsid w:val="06EC40CA"/>
    <w:multiLevelType w:val="hybridMultilevel"/>
    <w:tmpl w:val="78721FDE"/>
    <w:lvl w:ilvl="0" w:tplc="0C58F464">
      <w:start w:val="1"/>
      <w:numFmt w:val="bullet"/>
      <w:lvlText w:val=""/>
      <w:lvlJc w:val="left"/>
      <w:pPr>
        <w:tabs>
          <w:tab w:val="num" w:pos="720"/>
        </w:tabs>
        <w:ind w:left="720" w:hanging="360"/>
      </w:pPr>
      <w:rPr>
        <w:rFonts w:ascii="Wingdings 3" w:hAnsi="Wingdings 3" w:hint="default"/>
      </w:rPr>
    </w:lvl>
    <w:lvl w:ilvl="1" w:tplc="33DE14F0" w:tentative="1">
      <w:start w:val="1"/>
      <w:numFmt w:val="bullet"/>
      <w:lvlText w:val=""/>
      <w:lvlJc w:val="left"/>
      <w:pPr>
        <w:tabs>
          <w:tab w:val="num" w:pos="1440"/>
        </w:tabs>
        <w:ind w:left="1440" w:hanging="360"/>
      </w:pPr>
      <w:rPr>
        <w:rFonts w:ascii="Wingdings 3" w:hAnsi="Wingdings 3" w:hint="default"/>
      </w:rPr>
    </w:lvl>
    <w:lvl w:ilvl="2" w:tplc="86943F16" w:tentative="1">
      <w:start w:val="1"/>
      <w:numFmt w:val="bullet"/>
      <w:lvlText w:val=""/>
      <w:lvlJc w:val="left"/>
      <w:pPr>
        <w:tabs>
          <w:tab w:val="num" w:pos="2160"/>
        </w:tabs>
        <w:ind w:left="2160" w:hanging="360"/>
      </w:pPr>
      <w:rPr>
        <w:rFonts w:ascii="Wingdings 3" w:hAnsi="Wingdings 3" w:hint="default"/>
      </w:rPr>
    </w:lvl>
    <w:lvl w:ilvl="3" w:tplc="8280F614" w:tentative="1">
      <w:start w:val="1"/>
      <w:numFmt w:val="bullet"/>
      <w:lvlText w:val=""/>
      <w:lvlJc w:val="left"/>
      <w:pPr>
        <w:tabs>
          <w:tab w:val="num" w:pos="2880"/>
        </w:tabs>
        <w:ind w:left="2880" w:hanging="360"/>
      </w:pPr>
      <w:rPr>
        <w:rFonts w:ascii="Wingdings 3" w:hAnsi="Wingdings 3" w:hint="default"/>
      </w:rPr>
    </w:lvl>
    <w:lvl w:ilvl="4" w:tplc="231AF1FC" w:tentative="1">
      <w:start w:val="1"/>
      <w:numFmt w:val="bullet"/>
      <w:lvlText w:val=""/>
      <w:lvlJc w:val="left"/>
      <w:pPr>
        <w:tabs>
          <w:tab w:val="num" w:pos="3600"/>
        </w:tabs>
        <w:ind w:left="3600" w:hanging="360"/>
      </w:pPr>
      <w:rPr>
        <w:rFonts w:ascii="Wingdings 3" w:hAnsi="Wingdings 3" w:hint="default"/>
      </w:rPr>
    </w:lvl>
    <w:lvl w:ilvl="5" w:tplc="06B6E9A4" w:tentative="1">
      <w:start w:val="1"/>
      <w:numFmt w:val="bullet"/>
      <w:lvlText w:val=""/>
      <w:lvlJc w:val="left"/>
      <w:pPr>
        <w:tabs>
          <w:tab w:val="num" w:pos="4320"/>
        </w:tabs>
        <w:ind w:left="4320" w:hanging="360"/>
      </w:pPr>
      <w:rPr>
        <w:rFonts w:ascii="Wingdings 3" w:hAnsi="Wingdings 3" w:hint="default"/>
      </w:rPr>
    </w:lvl>
    <w:lvl w:ilvl="6" w:tplc="F87C7396" w:tentative="1">
      <w:start w:val="1"/>
      <w:numFmt w:val="bullet"/>
      <w:lvlText w:val=""/>
      <w:lvlJc w:val="left"/>
      <w:pPr>
        <w:tabs>
          <w:tab w:val="num" w:pos="5040"/>
        </w:tabs>
        <w:ind w:left="5040" w:hanging="360"/>
      </w:pPr>
      <w:rPr>
        <w:rFonts w:ascii="Wingdings 3" w:hAnsi="Wingdings 3" w:hint="default"/>
      </w:rPr>
    </w:lvl>
    <w:lvl w:ilvl="7" w:tplc="D06AEEB2" w:tentative="1">
      <w:start w:val="1"/>
      <w:numFmt w:val="bullet"/>
      <w:lvlText w:val=""/>
      <w:lvlJc w:val="left"/>
      <w:pPr>
        <w:tabs>
          <w:tab w:val="num" w:pos="5760"/>
        </w:tabs>
        <w:ind w:left="5760" w:hanging="360"/>
      </w:pPr>
      <w:rPr>
        <w:rFonts w:ascii="Wingdings 3" w:hAnsi="Wingdings 3" w:hint="default"/>
      </w:rPr>
    </w:lvl>
    <w:lvl w:ilvl="8" w:tplc="B478F73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411878"/>
    <w:multiLevelType w:val="hybridMultilevel"/>
    <w:tmpl w:val="CC80FCA4"/>
    <w:lvl w:ilvl="0" w:tplc="080A0001">
      <w:start w:val="1"/>
      <w:numFmt w:val="bullet"/>
      <w:lvlText w:val=""/>
      <w:lvlJc w:val="left"/>
      <w:pPr>
        <w:ind w:left="1009" w:hanging="360"/>
      </w:pPr>
      <w:rPr>
        <w:rFonts w:ascii="Symbol" w:hAnsi="Symbol" w:hint="default"/>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abstractNum w:abstractNumId="3" w15:restartNumberingAfterBreak="0">
    <w:nsid w:val="124C100A"/>
    <w:multiLevelType w:val="hybridMultilevel"/>
    <w:tmpl w:val="DF8A7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579E3"/>
    <w:multiLevelType w:val="hybridMultilevel"/>
    <w:tmpl w:val="A9ACB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612105"/>
    <w:multiLevelType w:val="hybridMultilevel"/>
    <w:tmpl w:val="E67E2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73987"/>
    <w:multiLevelType w:val="hybridMultilevel"/>
    <w:tmpl w:val="39E8E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0E72F9"/>
    <w:multiLevelType w:val="hybridMultilevel"/>
    <w:tmpl w:val="72327902"/>
    <w:lvl w:ilvl="0" w:tplc="B734F8C4">
      <w:start w:val="1"/>
      <w:numFmt w:val="bullet"/>
      <w:lvlText w:val=""/>
      <w:lvlJc w:val="left"/>
      <w:pPr>
        <w:ind w:left="1009" w:hanging="360"/>
      </w:pPr>
      <w:rPr>
        <w:rFonts w:ascii="Symbol" w:hAnsi="Symbol" w:hint="default"/>
        <w:sz w:val="16"/>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abstractNum w:abstractNumId="8" w15:restartNumberingAfterBreak="0">
    <w:nsid w:val="29123FFB"/>
    <w:multiLevelType w:val="hybridMultilevel"/>
    <w:tmpl w:val="747A0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9C6380"/>
    <w:multiLevelType w:val="hybridMultilevel"/>
    <w:tmpl w:val="8DE6220A"/>
    <w:lvl w:ilvl="0" w:tplc="31F04B12">
      <w:start w:val="1"/>
      <w:numFmt w:val="decimal"/>
      <w:lvlText w:val="%1."/>
      <w:lvlJc w:val="left"/>
      <w:pPr>
        <w:tabs>
          <w:tab w:val="num" w:pos="720"/>
        </w:tabs>
        <w:ind w:left="720" w:hanging="360"/>
      </w:pPr>
    </w:lvl>
    <w:lvl w:ilvl="1" w:tplc="4F004412">
      <w:numFmt w:val="none"/>
      <w:lvlText w:val=""/>
      <w:lvlJc w:val="left"/>
      <w:pPr>
        <w:tabs>
          <w:tab w:val="num" w:pos="360"/>
        </w:tabs>
      </w:pPr>
    </w:lvl>
    <w:lvl w:ilvl="2" w:tplc="DFEAC59E" w:tentative="1">
      <w:start w:val="1"/>
      <w:numFmt w:val="decimal"/>
      <w:lvlText w:val="%3."/>
      <w:lvlJc w:val="left"/>
      <w:pPr>
        <w:tabs>
          <w:tab w:val="num" w:pos="2160"/>
        </w:tabs>
        <w:ind w:left="2160" w:hanging="360"/>
      </w:pPr>
    </w:lvl>
    <w:lvl w:ilvl="3" w:tplc="BA98046A" w:tentative="1">
      <w:start w:val="1"/>
      <w:numFmt w:val="decimal"/>
      <w:lvlText w:val="%4."/>
      <w:lvlJc w:val="left"/>
      <w:pPr>
        <w:tabs>
          <w:tab w:val="num" w:pos="2880"/>
        </w:tabs>
        <w:ind w:left="2880" w:hanging="360"/>
      </w:pPr>
    </w:lvl>
    <w:lvl w:ilvl="4" w:tplc="BA8AD51C" w:tentative="1">
      <w:start w:val="1"/>
      <w:numFmt w:val="decimal"/>
      <w:lvlText w:val="%5."/>
      <w:lvlJc w:val="left"/>
      <w:pPr>
        <w:tabs>
          <w:tab w:val="num" w:pos="3600"/>
        </w:tabs>
        <w:ind w:left="3600" w:hanging="360"/>
      </w:pPr>
    </w:lvl>
    <w:lvl w:ilvl="5" w:tplc="31002A02" w:tentative="1">
      <w:start w:val="1"/>
      <w:numFmt w:val="decimal"/>
      <w:lvlText w:val="%6."/>
      <w:lvlJc w:val="left"/>
      <w:pPr>
        <w:tabs>
          <w:tab w:val="num" w:pos="4320"/>
        </w:tabs>
        <w:ind w:left="4320" w:hanging="360"/>
      </w:pPr>
    </w:lvl>
    <w:lvl w:ilvl="6" w:tplc="17209A78" w:tentative="1">
      <w:start w:val="1"/>
      <w:numFmt w:val="decimal"/>
      <w:lvlText w:val="%7."/>
      <w:lvlJc w:val="left"/>
      <w:pPr>
        <w:tabs>
          <w:tab w:val="num" w:pos="5040"/>
        </w:tabs>
        <w:ind w:left="5040" w:hanging="360"/>
      </w:pPr>
    </w:lvl>
    <w:lvl w:ilvl="7" w:tplc="5A7CD0B6" w:tentative="1">
      <w:start w:val="1"/>
      <w:numFmt w:val="decimal"/>
      <w:lvlText w:val="%8."/>
      <w:lvlJc w:val="left"/>
      <w:pPr>
        <w:tabs>
          <w:tab w:val="num" w:pos="5760"/>
        </w:tabs>
        <w:ind w:left="5760" w:hanging="360"/>
      </w:pPr>
    </w:lvl>
    <w:lvl w:ilvl="8" w:tplc="687E42EE" w:tentative="1">
      <w:start w:val="1"/>
      <w:numFmt w:val="decimal"/>
      <w:lvlText w:val="%9."/>
      <w:lvlJc w:val="left"/>
      <w:pPr>
        <w:tabs>
          <w:tab w:val="num" w:pos="6480"/>
        </w:tabs>
        <w:ind w:left="6480" w:hanging="360"/>
      </w:pPr>
    </w:lvl>
  </w:abstractNum>
  <w:abstractNum w:abstractNumId="10" w15:restartNumberingAfterBreak="0">
    <w:nsid w:val="30282CB2"/>
    <w:multiLevelType w:val="hybridMultilevel"/>
    <w:tmpl w:val="EFF4E574"/>
    <w:lvl w:ilvl="0" w:tplc="3D0A22D4">
      <w:start w:val="5"/>
      <w:numFmt w:val="decimal"/>
      <w:lvlText w:val="%1."/>
      <w:lvlJc w:val="left"/>
      <w:pPr>
        <w:tabs>
          <w:tab w:val="num" w:pos="720"/>
        </w:tabs>
        <w:ind w:left="720" w:hanging="360"/>
      </w:pPr>
    </w:lvl>
    <w:lvl w:ilvl="1" w:tplc="722C6C90">
      <w:numFmt w:val="none"/>
      <w:lvlText w:val=""/>
      <w:lvlJc w:val="left"/>
      <w:pPr>
        <w:tabs>
          <w:tab w:val="num" w:pos="360"/>
        </w:tabs>
      </w:pPr>
    </w:lvl>
    <w:lvl w:ilvl="2" w:tplc="32F8A50A" w:tentative="1">
      <w:start w:val="1"/>
      <w:numFmt w:val="decimal"/>
      <w:lvlText w:val="%3."/>
      <w:lvlJc w:val="left"/>
      <w:pPr>
        <w:tabs>
          <w:tab w:val="num" w:pos="2160"/>
        </w:tabs>
        <w:ind w:left="2160" w:hanging="360"/>
      </w:pPr>
    </w:lvl>
    <w:lvl w:ilvl="3" w:tplc="1C508186" w:tentative="1">
      <w:start w:val="1"/>
      <w:numFmt w:val="decimal"/>
      <w:lvlText w:val="%4."/>
      <w:lvlJc w:val="left"/>
      <w:pPr>
        <w:tabs>
          <w:tab w:val="num" w:pos="2880"/>
        </w:tabs>
        <w:ind w:left="2880" w:hanging="360"/>
      </w:pPr>
    </w:lvl>
    <w:lvl w:ilvl="4" w:tplc="868C42F8" w:tentative="1">
      <w:start w:val="1"/>
      <w:numFmt w:val="decimal"/>
      <w:lvlText w:val="%5."/>
      <w:lvlJc w:val="left"/>
      <w:pPr>
        <w:tabs>
          <w:tab w:val="num" w:pos="3600"/>
        </w:tabs>
        <w:ind w:left="3600" w:hanging="360"/>
      </w:pPr>
    </w:lvl>
    <w:lvl w:ilvl="5" w:tplc="7A06B5AE" w:tentative="1">
      <w:start w:val="1"/>
      <w:numFmt w:val="decimal"/>
      <w:lvlText w:val="%6."/>
      <w:lvlJc w:val="left"/>
      <w:pPr>
        <w:tabs>
          <w:tab w:val="num" w:pos="4320"/>
        </w:tabs>
        <w:ind w:left="4320" w:hanging="360"/>
      </w:pPr>
    </w:lvl>
    <w:lvl w:ilvl="6" w:tplc="77C4F8EA" w:tentative="1">
      <w:start w:val="1"/>
      <w:numFmt w:val="decimal"/>
      <w:lvlText w:val="%7."/>
      <w:lvlJc w:val="left"/>
      <w:pPr>
        <w:tabs>
          <w:tab w:val="num" w:pos="5040"/>
        </w:tabs>
        <w:ind w:left="5040" w:hanging="360"/>
      </w:pPr>
    </w:lvl>
    <w:lvl w:ilvl="7" w:tplc="C8F62F26" w:tentative="1">
      <w:start w:val="1"/>
      <w:numFmt w:val="decimal"/>
      <w:lvlText w:val="%8."/>
      <w:lvlJc w:val="left"/>
      <w:pPr>
        <w:tabs>
          <w:tab w:val="num" w:pos="5760"/>
        </w:tabs>
        <w:ind w:left="5760" w:hanging="360"/>
      </w:pPr>
    </w:lvl>
    <w:lvl w:ilvl="8" w:tplc="5142A284" w:tentative="1">
      <w:start w:val="1"/>
      <w:numFmt w:val="decimal"/>
      <w:lvlText w:val="%9."/>
      <w:lvlJc w:val="left"/>
      <w:pPr>
        <w:tabs>
          <w:tab w:val="num" w:pos="6480"/>
        </w:tabs>
        <w:ind w:left="6480" w:hanging="360"/>
      </w:pPr>
    </w:lvl>
  </w:abstractNum>
  <w:abstractNum w:abstractNumId="11" w15:restartNumberingAfterBreak="0">
    <w:nsid w:val="4015145F"/>
    <w:multiLevelType w:val="hybridMultilevel"/>
    <w:tmpl w:val="61C06B9A"/>
    <w:lvl w:ilvl="0" w:tplc="67A0CC48">
      <w:start w:val="1"/>
      <w:numFmt w:val="bullet"/>
      <w:lvlText w:val=""/>
      <w:lvlJc w:val="left"/>
      <w:pPr>
        <w:tabs>
          <w:tab w:val="num" w:pos="720"/>
        </w:tabs>
        <w:ind w:left="720" w:hanging="360"/>
      </w:pPr>
      <w:rPr>
        <w:rFonts w:ascii="Wingdings 3" w:hAnsi="Wingdings 3" w:hint="default"/>
      </w:rPr>
    </w:lvl>
    <w:lvl w:ilvl="1" w:tplc="88907798">
      <w:numFmt w:val="bullet"/>
      <w:lvlText w:val=""/>
      <w:lvlJc w:val="left"/>
      <w:pPr>
        <w:tabs>
          <w:tab w:val="num" w:pos="1440"/>
        </w:tabs>
        <w:ind w:left="1440" w:hanging="360"/>
      </w:pPr>
      <w:rPr>
        <w:rFonts w:ascii="Wingdings 3" w:hAnsi="Wingdings 3" w:hint="default"/>
      </w:rPr>
    </w:lvl>
    <w:lvl w:ilvl="2" w:tplc="A83474F6" w:tentative="1">
      <w:start w:val="1"/>
      <w:numFmt w:val="bullet"/>
      <w:lvlText w:val=""/>
      <w:lvlJc w:val="left"/>
      <w:pPr>
        <w:tabs>
          <w:tab w:val="num" w:pos="2160"/>
        </w:tabs>
        <w:ind w:left="2160" w:hanging="360"/>
      </w:pPr>
      <w:rPr>
        <w:rFonts w:ascii="Wingdings 3" w:hAnsi="Wingdings 3" w:hint="default"/>
      </w:rPr>
    </w:lvl>
    <w:lvl w:ilvl="3" w:tplc="772656B0" w:tentative="1">
      <w:start w:val="1"/>
      <w:numFmt w:val="bullet"/>
      <w:lvlText w:val=""/>
      <w:lvlJc w:val="left"/>
      <w:pPr>
        <w:tabs>
          <w:tab w:val="num" w:pos="2880"/>
        </w:tabs>
        <w:ind w:left="2880" w:hanging="360"/>
      </w:pPr>
      <w:rPr>
        <w:rFonts w:ascii="Wingdings 3" w:hAnsi="Wingdings 3" w:hint="default"/>
      </w:rPr>
    </w:lvl>
    <w:lvl w:ilvl="4" w:tplc="32CAF8AC" w:tentative="1">
      <w:start w:val="1"/>
      <w:numFmt w:val="bullet"/>
      <w:lvlText w:val=""/>
      <w:lvlJc w:val="left"/>
      <w:pPr>
        <w:tabs>
          <w:tab w:val="num" w:pos="3600"/>
        </w:tabs>
        <w:ind w:left="3600" w:hanging="360"/>
      </w:pPr>
      <w:rPr>
        <w:rFonts w:ascii="Wingdings 3" w:hAnsi="Wingdings 3" w:hint="default"/>
      </w:rPr>
    </w:lvl>
    <w:lvl w:ilvl="5" w:tplc="60F0469A" w:tentative="1">
      <w:start w:val="1"/>
      <w:numFmt w:val="bullet"/>
      <w:lvlText w:val=""/>
      <w:lvlJc w:val="left"/>
      <w:pPr>
        <w:tabs>
          <w:tab w:val="num" w:pos="4320"/>
        </w:tabs>
        <w:ind w:left="4320" w:hanging="360"/>
      </w:pPr>
      <w:rPr>
        <w:rFonts w:ascii="Wingdings 3" w:hAnsi="Wingdings 3" w:hint="default"/>
      </w:rPr>
    </w:lvl>
    <w:lvl w:ilvl="6" w:tplc="085060A2" w:tentative="1">
      <w:start w:val="1"/>
      <w:numFmt w:val="bullet"/>
      <w:lvlText w:val=""/>
      <w:lvlJc w:val="left"/>
      <w:pPr>
        <w:tabs>
          <w:tab w:val="num" w:pos="5040"/>
        </w:tabs>
        <w:ind w:left="5040" w:hanging="360"/>
      </w:pPr>
      <w:rPr>
        <w:rFonts w:ascii="Wingdings 3" w:hAnsi="Wingdings 3" w:hint="default"/>
      </w:rPr>
    </w:lvl>
    <w:lvl w:ilvl="7" w:tplc="9A427A0A" w:tentative="1">
      <w:start w:val="1"/>
      <w:numFmt w:val="bullet"/>
      <w:lvlText w:val=""/>
      <w:lvlJc w:val="left"/>
      <w:pPr>
        <w:tabs>
          <w:tab w:val="num" w:pos="5760"/>
        </w:tabs>
        <w:ind w:left="5760" w:hanging="360"/>
      </w:pPr>
      <w:rPr>
        <w:rFonts w:ascii="Wingdings 3" w:hAnsi="Wingdings 3" w:hint="default"/>
      </w:rPr>
    </w:lvl>
    <w:lvl w:ilvl="8" w:tplc="37FC260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6446FB3"/>
    <w:multiLevelType w:val="hybridMultilevel"/>
    <w:tmpl w:val="38E29EEA"/>
    <w:lvl w:ilvl="0" w:tplc="B4E0A286">
      <w:start w:val="1"/>
      <w:numFmt w:val="bullet"/>
      <w:lvlText w:val=""/>
      <w:lvlJc w:val="left"/>
      <w:pPr>
        <w:tabs>
          <w:tab w:val="num" w:pos="851"/>
        </w:tabs>
        <w:ind w:left="851" w:hanging="851"/>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63279"/>
    <w:multiLevelType w:val="hybridMultilevel"/>
    <w:tmpl w:val="A55E9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940119"/>
    <w:multiLevelType w:val="hybridMultilevel"/>
    <w:tmpl w:val="B2AAC4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7A7978"/>
    <w:multiLevelType w:val="hybridMultilevel"/>
    <w:tmpl w:val="F6A852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12"/>
  </w:num>
  <w:num w:numId="4">
    <w:abstractNumId w:val="12"/>
  </w:num>
  <w:num w:numId="5">
    <w:abstractNumId w:val="13"/>
  </w:num>
  <w:num w:numId="6">
    <w:abstractNumId w:val="8"/>
  </w:num>
  <w:num w:numId="7">
    <w:abstractNumId w:val="15"/>
  </w:num>
  <w:num w:numId="8">
    <w:abstractNumId w:val="14"/>
  </w:num>
  <w:num w:numId="9">
    <w:abstractNumId w:val="7"/>
  </w:num>
  <w:num w:numId="10">
    <w:abstractNumId w:val="2"/>
  </w:num>
  <w:num w:numId="11">
    <w:abstractNumId w:val="4"/>
  </w:num>
  <w:num w:numId="12">
    <w:abstractNumId w:val="3"/>
  </w:num>
  <w:num w:numId="13">
    <w:abstractNumId w:val="9"/>
  </w:num>
  <w:num w:numId="14">
    <w:abstractNumId w:val="10"/>
  </w:num>
  <w:num w:numId="15">
    <w:abstractNumId w:val="0"/>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80"/>
    <w:rsid w:val="00000BC0"/>
    <w:rsid w:val="00002714"/>
    <w:rsid w:val="00002850"/>
    <w:rsid w:val="00006630"/>
    <w:rsid w:val="000118DB"/>
    <w:rsid w:val="00020914"/>
    <w:rsid w:val="00023574"/>
    <w:rsid w:val="000347B2"/>
    <w:rsid w:val="000434FC"/>
    <w:rsid w:val="00052F48"/>
    <w:rsid w:val="00055721"/>
    <w:rsid w:val="00057EAF"/>
    <w:rsid w:val="0006261C"/>
    <w:rsid w:val="00062723"/>
    <w:rsid w:val="000A2AF0"/>
    <w:rsid w:val="000B1803"/>
    <w:rsid w:val="000D6AD3"/>
    <w:rsid w:val="000D7C26"/>
    <w:rsid w:val="000F09DD"/>
    <w:rsid w:val="000F3E29"/>
    <w:rsid w:val="000F67C0"/>
    <w:rsid w:val="00104C28"/>
    <w:rsid w:val="00105810"/>
    <w:rsid w:val="001064DC"/>
    <w:rsid w:val="00117448"/>
    <w:rsid w:val="00117FAA"/>
    <w:rsid w:val="001217C4"/>
    <w:rsid w:val="00126236"/>
    <w:rsid w:val="0013233B"/>
    <w:rsid w:val="0013469D"/>
    <w:rsid w:val="0016287A"/>
    <w:rsid w:val="00175530"/>
    <w:rsid w:val="00183D1C"/>
    <w:rsid w:val="00191305"/>
    <w:rsid w:val="001A1478"/>
    <w:rsid w:val="001A48D0"/>
    <w:rsid w:val="001B00E9"/>
    <w:rsid w:val="001D35B9"/>
    <w:rsid w:val="001D797B"/>
    <w:rsid w:val="002003A1"/>
    <w:rsid w:val="00206794"/>
    <w:rsid w:val="00207A73"/>
    <w:rsid w:val="00236D5F"/>
    <w:rsid w:val="00246F2F"/>
    <w:rsid w:val="00247CE4"/>
    <w:rsid w:val="002579DB"/>
    <w:rsid w:val="00266441"/>
    <w:rsid w:val="00266595"/>
    <w:rsid w:val="00267184"/>
    <w:rsid w:val="00274872"/>
    <w:rsid w:val="00284005"/>
    <w:rsid w:val="00286553"/>
    <w:rsid w:val="00287D22"/>
    <w:rsid w:val="00293230"/>
    <w:rsid w:val="002A2F00"/>
    <w:rsid w:val="002B6154"/>
    <w:rsid w:val="002C10B8"/>
    <w:rsid w:val="002C3275"/>
    <w:rsid w:val="002C3D9F"/>
    <w:rsid w:val="002C53E6"/>
    <w:rsid w:val="002D5B19"/>
    <w:rsid w:val="002D6224"/>
    <w:rsid w:val="002F0100"/>
    <w:rsid w:val="002F3757"/>
    <w:rsid w:val="002F6EE8"/>
    <w:rsid w:val="0031046D"/>
    <w:rsid w:val="003322AB"/>
    <w:rsid w:val="003376CC"/>
    <w:rsid w:val="00351282"/>
    <w:rsid w:val="003653F3"/>
    <w:rsid w:val="003672C9"/>
    <w:rsid w:val="00373744"/>
    <w:rsid w:val="00397A20"/>
    <w:rsid w:val="003B5183"/>
    <w:rsid w:val="003C06A3"/>
    <w:rsid w:val="003C5295"/>
    <w:rsid w:val="003D5B6B"/>
    <w:rsid w:val="003E623F"/>
    <w:rsid w:val="00417577"/>
    <w:rsid w:val="004203DA"/>
    <w:rsid w:val="004211AB"/>
    <w:rsid w:val="00424563"/>
    <w:rsid w:val="0046237C"/>
    <w:rsid w:val="004669CA"/>
    <w:rsid w:val="004730D8"/>
    <w:rsid w:val="0047397B"/>
    <w:rsid w:val="0048258D"/>
    <w:rsid w:val="00494626"/>
    <w:rsid w:val="004B3E88"/>
    <w:rsid w:val="004B5FA5"/>
    <w:rsid w:val="004C13FA"/>
    <w:rsid w:val="004C1AD4"/>
    <w:rsid w:val="004C2121"/>
    <w:rsid w:val="004C7035"/>
    <w:rsid w:val="004C74FD"/>
    <w:rsid w:val="004E419F"/>
    <w:rsid w:val="004E4F88"/>
    <w:rsid w:val="004E55EF"/>
    <w:rsid w:val="004E5746"/>
    <w:rsid w:val="004F389D"/>
    <w:rsid w:val="00517395"/>
    <w:rsid w:val="0052214E"/>
    <w:rsid w:val="005223C4"/>
    <w:rsid w:val="005241D6"/>
    <w:rsid w:val="00526665"/>
    <w:rsid w:val="005274A5"/>
    <w:rsid w:val="00530F1A"/>
    <w:rsid w:val="00536A5F"/>
    <w:rsid w:val="005467E0"/>
    <w:rsid w:val="00550B02"/>
    <w:rsid w:val="0056147B"/>
    <w:rsid w:val="005648E9"/>
    <w:rsid w:val="00570086"/>
    <w:rsid w:val="005725D5"/>
    <w:rsid w:val="00590F11"/>
    <w:rsid w:val="00591913"/>
    <w:rsid w:val="00592DF8"/>
    <w:rsid w:val="005B0BBF"/>
    <w:rsid w:val="005B399C"/>
    <w:rsid w:val="005D6AA5"/>
    <w:rsid w:val="005D7B49"/>
    <w:rsid w:val="005E253B"/>
    <w:rsid w:val="005E6B0F"/>
    <w:rsid w:val="005F0837"/>
    <w:rsid w:val="005F5582"/>
    <w:rsid w:val="006148D1"/>
    <w:rsid w:val="0064181B"/>
    <w:rsid w:val="006438E7"/>
    <w:rsid w:val="00652145"/>
    <w:rsid w:val="00666019"/>
    <w:rsid w:val="006804FE"/>
    <w:rsid w:val="00680A27"/>
    <w:rsid w:val="00687108"/>
    <w:rsid w:val="006902C0"/>
    <w:rsid w:val="006A7105"/>
    <w:rsid w:val="006B404C"/>
    <w:rsid w:val="006B7C20"/>
    <w:rsid w:val="006C4580"/>
    <w:rsid w:val="006C467D"/>
    <w:rsid w:val="006D00E7"/>
    <w:rsid w:val="006D7BD3"/>
    <w:rsid w:val="006E5E76"/>
    <w:rsid w:val="006E69D9"/>
    <w:rsid w:val="006F5E94"/>
    <w:rsid w:val="00704774"/>
    <w:rsid w:val="00712906"/>
    <w:rsid w:val="00714F7A"/>
    <w:rsid w:val="00722FA9"/>
    <w:rsid w:val="0072477E"/>
    <w:rsid w:val="00724ABE"/>
    <w:rsid w:val="00726ABA"/>
    <w:rsid w:val="00745097"/>
    <w:rsid w:val="00747A0C"/>
    <w:rsid w:val="00765C8E"/>
    <w:rsid w:val="007667A4"/>
    <w:rsid w:val="00793FBE"/>
    <w:rsid w:val="007A47C6"/>
    <w:rsid w:val="007A4F5C"/>
    <w:rsid w:val="007A56FD"/>
    <w:rsid w:val="007B09CC"/>
    <w:rsid w:val="007B3DCB"/>
    <w:rsid w:val="007C35C8"/>
    <w:rsid w:val="007C3B21"/>
    <w:rsid w:val="007C4C15"/>
    <w:rsid w:val="007C6CCE"/>
    <w:rsid w:val="007D42E4"/>
    <w:rsid w:val="0080491D"/>
    <w:rsid w:val="00807806"/>
    <w:rsid w:val="0081001B"/>
    <w:rsid w:val="00813AA3"/>
    <w:rsid w:val="00813C98"/>
    <w:rsid w:val="00817308"/>
    <w:rsid w:val="0082002D"/>
    <w:rsid w:val="00820359"/>
    <w:rsid w:val="0082401B"/>
    <w:rsid w:val="008241C7"/>
    <w:rsid w:val="00830BF7"/>
    <w:rsid w:val="0085309A"/>
    <w:rsid w:val="00853616"/>
    <w:rsid w:val="008552CC"/>
    <w:rsid w:val="00863256"/>
    <w:rsid w:val="008948CE"/>
    <w:rsid w:val="008A13D2"/>
    <w:rsid w:val="008A4D02"/>
    <w:rsid w:val="008A5586"/>
    <w:rsid w:val="008B248C"/>
    <w:rsid w:val="008D2D1A"/>
    <w:rsid w:val="008E19F0"/>
    <w:rsid w:val="008E3292"/>
    <w:rsid w:val="008F20FE"/>
    <w:rsid w:val="00903529"/>
    <w:rsid w:val="00905377"/>
    <w:rsid w:val="009146CF"/>
    <w:rsid w:val="00925934"/>
    <w:rsid w:val="00930127"/>
    <w:rsid w:val="0093067E"/>
    <w:rsid w:val="00945283"/>
    <w:rsid w:val="009549A2"/>
    <w:rsid w:val="00965CD4"/>
    <w:rsid w:val="00966379"/>
    <w:rsid w:val="00970E87"/>
    <w:rsid w:val="00971045"/>
    <w:rsid w:val="00976FA1"/>
    <w:rsid w:val="00981879"/>
    <w:rsid w:val="00985FF0"/>
    <w:rsid w:val="009938AE"/>
    <w:rsid w:val="00995089"/>
    <w:rsid w:val="00995A3E"/>
    <w:rsid w:val="009A6831"/>
    <w:rsid w:val="009B542E"/>
    <w:rsid w:val="009B6345"/>
    <w:rsid w:val="009D17CD"/>
    <w:rsid w:val="009E36DD"/>
    <w:rsid w:val="009E79EE"/>
    <w:rsid w:val="009F3003"/>
    <w:rsid w:val="009F6DE4"/>
    <w:rsid w:val="00A02D0B"/>
    <w:rsid w:val="00A0399B"/>
    <w:rsid w:val="00A30EB7"/>
    <w:rsid w:val="00A64178"/>
    <w:rsid w:val="00A65D42"/>
    <w:rsid w:val="00A66547"/>
    <w:rsid w:val="00A753BF"/>
    <w:rsid w:val="00A812F9"/>
    <w:rsid w:val="00A85276"/>
    <w:rsid w:val="00A932AD"/>
    <w:rsid w:val="00A9419D"/>
    <w:rsid w:val="00AA2A78"/>
    <w:rsid w:val="00AA391D"/>
    <w:rsid w:val="00AA3D6B"/>
    <w:rsid w:val="00AA4E0B"/>
    <w:rsid w:val="00AA68A7"/>
    <w:rsid w:val="00AA6A6C"/>
    <w:rsid w:val="00AB3E9C"/>
    <w:rsid w:val="00AB5A2C"/>
    <w:rsid w:val="00AB623D"/>
    <w:rsid w:val="00AC6622"/>
    <w:rsid w:val="00AC7DA0"/>
    <w:rsid w:val="00AF5826"/>
    <w:rsid w:val="00AF76D5"/>
    <w:rsid w:val="00B11EE6"/>
    <w:rsid w:val="00B124AE"/>
    <w:rsid w:val="00B17792"/>
    <w:rsid w:val="00B26BBA"/>
    <w:rsid w:val="00B34773"/>
    <w:rsid w:val="00B44EBB"/>
    <w:rsid w:val="00B6227F"/>
    <w:rsid w:val="00B6484A"/>
    <w:rsid w:val="00B66480"/>
    <w:rsid w:val="00B75727"/>
    <w:rsid w:val="00B763C7"/>
    <w:rsid w:val="00B82C4B"/>
    <w:rsid w:val="00B94AF9"/>
    <w:rsid w:val="00BA1D75"/>
    <w:rsid w:val="00BB14ED"/>
    <w:rsid w:val="00BC3AEC"/>
    <w:rsid w:val="00BD1940"/>
    <w:rsid w:val="00BD720C"/>
    <w:rsid w:val="00BE0F02"/>
    <w:rsid w:val="00BE466C"/>
    <w:rsid w:val="00BE68AB"/>
    <w:rsid w:val="00BF5F68"/>
    <w:rsid w:val="00C15113"/>
    <w:rsid w:val="00C2004B"/>
    <w:rsid w:val="00C25649"/>
    <w:rsid w:val="00C4002E"/>
    <w:rsid w:val="00C45B45"/>
    <w:rsid w:val="00C471B8"/>
    <w:rsid w:val="00C47B73"/>
    <w:rsid w:val="00C53012"/>
    <w:rsid w:val="00C651B1"/>
    <w:rsid w:val="00C65460"/>
    <w:rsid w:val="00C74B31"/>
    <w:rsid w:val="00C873EF"/>
    <w:rsid w:val="00C911A0"/>
    <w:rsid w:val="00C967BA"/>
    <w:rsid w:val="00CD0B2F"/>
    <w:rsid w:val="00CD2312"/>
    <w:rsid w:val="00CD44BD"/>
    <w:rsid w:val="00CE0404"/>
    <w:rsid w:val="00CE10A7"/>
    <w:rsid w:val="00CE6AA2"/>
    <w:rsid w:val="00D16EBD"/>
    <w:rsid w:val="00D2022B"/>
    <w:rsid w:val="00D20FCE"/>
    <w:rsid w:val="00D3490E"/>
    <w:rsid w:val="00D40D5F"/>
    <w:rsid w:val="00D411DA"/>
    <w:rsid w:val="00D62AF5"/>
    <w:rsid w:val="00D65C09"/>
    <w:rsid w:val="00D74956"/>
    <w:rsid w:val="00D821B1"/>
    <w:rsid w:val="00D82468"/>
    <w:rsid w:val="00D84F83"/>
    <w:rsid w:val="00D9029A"/>
    <w:rsid w:val="00DA24C8"/>
    <w:rsid w:val="00DA3984"/>
    <w:rsid w:val="00DB14EB"/>
    <w:rsid w:val="00DF02FB"/>
    <w:rsid w:val="00E00DF1"/>
    <w:rsid w:val="00E03A7F"/>
    <w:rsid w:val="00E11ACE"/>
    <w:rsid w:val="00E16191"/>
    <w:rsid w:val="00E217EC"/>
    <w:rsid w:val="00E26108"/>
    <w:rsid w:val="00E41D39"/>
    <w:rsid w:val="00E511CC"/>
    <w:rsid w:val="00E70217"/>
    <w:rsid w:val="00E74308"/>
    <w:rsid w:val="00E759B1"/>
    <w:rsid w:val="00E80CB8"/>
    <w:rsid w:val="00E839B8"/>
    <w:rsid w:val="00E85F42"/>
    <w:rsid w:val="00E95D20"/>
    <w:rsid w:val="00EA49FF"/>
    <w:rsid w:val="00EB578E"/>
    <w:rsid w:val="00EC16F3"/>
    <w:rsid w:val="00EC6476"/>
    <w:rsid w:val="00ED26AC"/>
    <w:rsid w:val="00ED34A7"/>
    <w:rsid w:val="00EE0D07"/>
    <w:rsid w:val="00EE2245"/>
    <w:rsid w:val="00EE5C5A"/>
    <w:rsid w:val="00F0614E"/>
    <w:rsid w:val="00F1268E"/>
    <w:rsid w:val="00F142D6"/>
    <w:rsid w:val="00F15BDD"/>
    <w:rsid w:val="00F21E1F"/>
    <w:rsid w:val="00F26B45"/>
    <w:rsid w:val="00F34F2A"/>
    <w:rsid w:val="00F423BD"/>
    <w:rsid w:val="00F42618"/>
    <w:rsid w:val="00F550F2"/>
    <w:rsid w:val="00F70544"/>
    <w:rsid w:val="00F83102"/>
    <w:rsid w:val="00F83F57"/>
    <w:rsid w:val="00F96002"/>
    <w:rsid w:val="00F96D4C"/>
    <w:rsid w:val="00FA13D7"/>
    <w:rsid w:val="00FB09CB"/>
    <w:rsid w:val="00FB21F6"/>
    <w:rsid w:val="00FB46F5"/>
    <w:rsid w:val="00FC04F4"/>
    <w:rsid w:val="00FC52DD"/>
    <w:rsid w:val="00FC6435"/>
    <w:rsid w:val="00FD24C4"/>
    <w:rsid w:val="00FE03B5"/>
    <w:rsid w:val="00FE1C3C"/>
    <w:rsid w:val="00FF1EB8"/>
    <w:rsid w:val="00FF7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665C"/>
  <w15:chartTrackingRefBased/>
  <w15:docId w15:val="{C716171F-0F9E-4FBE-AA95-1C06E654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A0"/>
  </w:style>
  <w:style w:type="paragraph" w:styleId="Ttulo1">
    <w:name w:val="heading 1"/>
    <w:basedOn w:val="Normal"/>
    <w:next w:val="Normal"/>
    <w:link w:val="Ttulo1Car"/>
    <w:uiPriority w:val="9"/>
    <w:qFormat/>
    <w:rsid w:val="006C458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6C458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C458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C458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6C458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6C458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6C458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6C458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6C458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580"/>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6C458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C4580"/>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C4580"/>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6C4580"/>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6C4580"/>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6C4580"/>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6C4580"/>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6C4580"/>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unhideWhenUsed/>
    <w:qFormat/>
    <w:rsid w:val="006C4580"/>
    <w:pPr>
      <w:spacing w:line="240" w:lineRule="auto"/>
    </w:pPr>
    <w:rPr>
      <w:b/>
      <w:bCs/>
      <w:smallCaps/>
      <w:color w:val="44546A" w:themeColor="text2"/>
    </w:rPr>
  </w:style>
  <w:style w:type="paragraph" w:styleId="Ttulo">
    <w:name w:val="Title"/>
    <w:basedOn w:val="Normal"/>
    <w:next w:val="Normal"/>
    <w:link w:val="TtuloCar"/>
    <w:uiPriority w:val="10"/>
    <w:qFormat/>
    <w:rsid w:val="006C458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6C458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458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6C4580"/>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6C4580"/>
    <w:rPr>
      <w:b/>
      <w:bCs/>
    </w:rPr>
  </w:style>
  <w:style w:type="character" w:styleId="nfasis">
    <w:name w:val="Emphasis"/>
    <w:basedOn w:val="Fuentedeprrafopredeter"/>
    <w:uiPriority w:val="20"/>
    <w:qFormat/>
    <w:rsid w:val="006C4580"/>
    <w:rPr>
      <w:i/>
      <w:iCs/>
    </w:rPr>
  </w:style>
  <w:style w:type="paragraph" w:styleId="Sinespaciado">
    <w:name w:val="No Spacing"/>
    <w:uiPriority w:val="1"/>
    <w:qFormat/>
    <w:rsid w:val="006C4580"/>
    <w:pPr>
      <w:spacing w:after="0" w:line="240" w:lineRule="auto"/>
    </w:pPr>
  </w:style>
  <w:style w:type="paragraph" w:styleId="Cita">
    <w:name w:val="Quote"/>
    <w:basedOn w:val="Normal"/>
    <w:next w:val="Normal"/>
    <w:link w:val="CitaCar"/>
    <w:uiPriority w:val="29"/>
    <w:qFormat/>
    <w:rsid w:val="006C458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4580"/>
    <w:rPr>
      <w:color w:val="44546A" w:themeColor="text2"/>
      <w:sz w:val="24"/>
      <w:szCs w:val="24"/>
    </w:rPr>
  </w:style>
  <w:style w:type="paragraph" w:styleId="Citadestacada">
    <w:name w:val="Intense Quote"/>
    <w:basedOn w:val="Normal"/>
    <w:next w:val="Normal"/>
    <w:link w:val="CitadestacadaCar"/>
    <w:uiPriority w:val="30"/>
    <w:qFormat/>
    <w:rsid w:val="006C458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458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4580"/>
    <w:rPr>
      <w:i/>
      <w:iCs/>
      <w:color w:val="595959" w:themeColor="text1" w:themeTint="A6"/>
    </w:rPr>
  </w:style>
  <w:style w:type="character" w:styleId="nfasisintenso">
    <w:name w:val="Intense Emphasis"/>
    <w:basedOn w:val="Fuentedeprrafopredeter"/>
    <w:uiPriority w:val="21"/>
    <w:qFormat/>
    <w:rsid w:val="006C4580"/>
    <w:rPr>
      <w:b/>
      <w:bCs/>
      <w:i/>
      <w:iCs/>
    </w:rPr>
  </w:style>
  <w:style w:type="character" w:styleId="Referenciasutil">
    <w:name w:val="Subtle Reference"/>
    <w:basedOn w:val="Fuentedeprrafopredeter"/>
    <w:uiPriority w:val="31"/>
    <w:qFormat/>
    <w:rsid w:val="006C458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4580"/>
    <w:rPr>
      <w:b/>
      <w:bCs/>
      <w:smallCaps/>
      <w:color w:val="44546A" w:themeColor="text2"/>
      <w:u w:val="single"/>
    </w:rPr>
  </w:style>
  <w:style w:type="character" w:styleId="Ttulodellibro">
    <w:name w:val="Book Title"/>
    <w:basedOn w:val="Fuentedeprrafopredeter"/>
    <w:uiPriority w:val="33"/>
    <w:qFormat/>
    <w:rsid w:val="006C4580"/>
    <w:rPr>
      <w:b/>
      <w:bCs/>
      <w:smallCaps/>
      <w:spacing w:val="10"/>
    </w:rPr>
  </w:style>
  <w:style w:type="paragraph" w:styleId="TtuloTDC">
    <w:name w:val="TOC Heading"/>
    <w:basedOn w:val="Ttulo1"/>
    <w:next w:val="Normal"/>
    <w:uiPriority w:val="39"/>
    <w:semiHidden/>
    <w:unhideWhenUsed/>
    <w:qFormat/>
    <w:rsid w:val="006C4580"/>
    <w:pPr>
      <w:outlineLvl w:val="9"/>
    </w:pPr>
  </w:style>
  <w:style w:type="table" w:styleId="Tablaconcuadrcula">
    <w:name w:val="Table Grid"/>
    <w:basedOn w:val="Tablanormal"/>
    <w:uiPriority w:val="39"/>
    <w:rsid w:val="006C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45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580"/>
  </w:style>
  <w:style w:type="paragraph" w:styleId="Piedepgina">
    <w:name w:val="footer"/>
    <w:basedOn w:val="Normal"/>
    <w:link w:val="PiedepginaCar"/>
    <w:uiPriority w:val="99"/>
    <w:unhideWhenUsed/>
    <w:rsid w:val="006C45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580"/>
  </w:style>
  <w:style w:type="paragraph" w:customStyle="1" w:styleId="Paragraph">
    <w:name w:val="Paragraph"/>
    <w:basedOn w:val="Normal"/>
    <w:link w:val="ParagraphChar"/>
    <w:qFormat/>
    <w:rsid w:val="00F83F57"/>
    <w:pPr>
      <w:spacing w:after="120" w:line="240" w:lineRule="auto"/>
      <w:jc w:val="both"/>
    </w:pPr>
    <w:rPr>
      <w:rFonts w:ascii="Arial" w:eastAsia="Times New Roman" w:hAnsi="Arial" w:cs="Times New Roman"/>
      <w:szCs w:val="20"/>
      <w:lang w:val="en-GB"/>
    </w:rPr>
  </w:style>
  <w:style w:type="paragraph" w:customStyle="1" w:styleId="Bulletpoint">
    <w:name w:val="Bullet point"/>
    <w:basedOn w:val="Paragraph"/>
    <w:autoRedefine/>
    <w:qFormat/>
    <w:rsid w:val="00D65C09"/>
    <w:pPr>
      <w:spacing w:before="240" w:after="240"/>
    </w:pPr>
    <w:rPr>
      <w:rFonts w:eastAsiaTheme="majorEastAsia"/>
    </w:rPr>
  </w:style>
  <w:style w:type="character" w:customStyle="1" w:styleId="ParagraphChar">
    <w:name w:val="Paragraph Char"/>
    <w:basedOn w:val="Fuentedeprrafopredeter"/>
    <w:link w:val="Paragraph"/>
    <w:rsid w:val="00F83F57"/>
    <w:rPr>
      <w:rFonts w:ascii="Arial" w:eastAsia="Times New Roman" w:hAnsi="Arial" w:cs="Times New Roman"/>
      <w:szCs w:val="20"/>
      <w:lang w:val="en-GB"/>
    </w:rPr>
  </w:style>
  <w:style w:type="paragraph" w:styleId="Prrafodelista">
    <w:name w:val="List Paragraph"/>
    <w:aliases w:val="NUMBERED PARAGRAPH,List Paragraph 1,References,ReferencesCxSpLast,lp1,List Paragraph (numbered (a)),Use Case List Paragraph,Numbered Paragraph,Main numbered paragraph,Numbered List Paragraph,123 List Paragraph,Bullets"/>
    <w:basedOn w:val="Normal"/>
    <w:link w:val="PrrafodelistaCar"/>
    <w:uiPriority w:val="34"/>
    <w:qFormat/>
    <w:rsid w:val="00F83F57"/>
    <w:pPr>
      <w:ind w:left="720"/>
      <w:contextualSpacing/>
    </w:pPr>
  </w:style>
  <w:style w:type="paragraph" w:customStyle="1" w:styleId="Speakers">
    <w:name w:val="Speakers"/>
    <w:basedOn w:val="Paragraph"/>
    <w:link w:val="SpeakersChar"/>
    <w:qFormat/>
    <w:rsid w:val="00206794"/>
    <w:pPr>
      <w:ind w:left="851"/>
    </w:pPr>
    <w:rPr>
      <w:i/>
    </w:rPr>
  </w:style>
  <w:style w:type="character" w:customStyle="1" w:styleId="SpeakersChar">
    <w:name w:val="Speakers Char"/>
    <w:basedOn w:val="ParagraphChar"/>
    <w:link w:val="Speakers"/>
    <w:rsid w:val="00206794"/>
    <w:rPr>
      <w:rFonts w:ascii="Arial" w:eastAsia="Times New Roman" w:hAnsi="Arial" w:cs="Times New Roman"/>
      <w:i/>
      <w:szCs w:val="20"/>
      <w:lang w:val="en-GB"/>
    </w:rPr>
  </w:style>
  <w:style w:type="paragraph" w:styleId="Textodeglobo">
    <w:name w:val="Balloon Text"/>
    <w:basedOn w:val="Normal"/>
    <w:link w:val="TextodegloboCar"/>
    <w:uiPriority w:val="99"/>
    <w:semiHidden/>
    <w:unhideWhenUsed/>
    <w:rsid w:val="000209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914"/>
    <w:rPr>
      <w:rFonts w:ascii="Segoe UI" w:hAnsi="Segoe UI" w:cs="Segoe UI"/>
      <w:sz w:val="18"/>
      <w:szCs w:val="18"/>
    </w:rPr>
  </w:style>
  <w:style w:type="character" w:styleId="Hipervnculo">
    <w:name w:val="Hyperlink"/>
    <w:basedOn w:val="Fuentedeprrafopredeter"/>
    <w:uiPriority w:val="99"/>
    <w:unhideWhenUsed/>
    <w:rsid w:val="003C06A3"/>
    <w:rPr>
      <w:color w:val="0000FF"/>
      <w:u w:val="single"/>
    </w:rPr>
  </w:style>
  <w:style w:type="paragraph" w:styleId="NormalWeb">
    <w:name w:val="Normal (Web)"/>
    <w:basedOn w:val="Normal"/>
    <w:uiPriority w:val="99"/>
    <w:semiHidden/>
    <w:unhideWhenUsed/>
    <w:rsid w:val="000626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peakers0">
    <w:name w:val="speakers"/>
    <w:basedOn w:val="Normal"/>
    <w:link w:val="speakersChar0"/>
    <w:qFormat/>
    <w:rsid w:val="00117FAA"/>
    <w:pPr>
      <w:spacing w:after="120" w:line="240" w:lineRule="auto"/>
      <w:ind w:left="851"/>
      <w:jc w:val="both"/>
    </w:pPr>
    <w:rPr>
      <w:rFonts w:ascii="Arial" w:eastAsia="Times New Roman" w:hAnsi="Arial" w:cs="Times New Roman"/>
      <w:i/>
      <w:szCs w:val="20"/>
      <w:lang w:val="en-GB"/>
    </w:rPr>
  </w:style>
  <w:style w:type="character" w:customStyle="1" w:styleId="speakersChar0">
    <w:name w:val="speakers Char"/>
    <w:basedOn w:val="Fuentedeprrafopredeter"/>
    <w:link w:val="speakers0"/>
    <w:rsid w:val="00117FAA"/>
    <w:rPr>
      <w:rFonts w:ascii="Arial" w:eastAsia="Times New Roman" w:hAnsi="Arial" w:cs="Times New Roman"/>
      <w:i/>
      <w:szCs w:val="20"/>
      <w:lang w:val="en-GB"/>
    </w:rPr>
  </w:style>
  <w:style w:type="paragraph" w:styleId="Textonotapie">
    <w:name w:val="footnote text"/>
    <w:basedOn w:val="Normal"/>
    <w:link w:val="TextonotapieCar"/>
    <w:uiPriority w:val="99"/>
    <w:semiHidden/>
    <w:unhideWhenUsed/>
    <w:rsid w:val="00F15BDD"/>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F15BDD"/>
    <w:rPr>
      <w:rFonts w:eastAsiaTheme="minorHAnsi"/>
      <w:sz w:val="20"/>
      <w:szCs w:val="20"/>
    </w:rPr>
  </w:style>
  <w:style w:type="character" w:styleId="Refdenotaalpie">
    <w:name w:val="footnote reference"/>
    <w:basedOn w:val="Fuentedeprrafopredeter"/>
    <w:uiPriority w:val="99"/>
    <w:semiHidden/>
    <w:unhideWhenUsed/>
    <w:rsid w:val="00F15BDD"/>
    <w:rPr>
      <w:vertAlign w:val="superscript"/>
    </w:rPr>
  </w:style>
  <w:style w:type="character" w:styleId="Mencinsinresolver">
    <w:name w:val="Unresolved Mention"/>
    <w:basedOn w:val="Fuentedeprrafopredeter"/>
    <w:uiPriority w:val="99"/>
    <w:semiHidden/>
    <w:unhideWhenUsed/>
    <w:rsid w:val="00052F48"/>
    <w:rPr>
      <w:color w:val="605E5C"/>
      <w:shd w:val="clear" w:color="auto" w:fill="E1DFDD"/>
    </w:rPr>
  </w:style>
  <w:style w:type="character" w:customStyle="1" w:styleId="PrrafodelistaCar">
    <w:name w:val="Párrafo de lista Car"/>
    <w:aliases w:val="NUMBERED PARAGRAPH Car,List Paragraph 1 Car,References Car,ReferencesCxSpLast Car,lp1 Car,List Paragraph (numbered (a)) Car,Use Case List Paragraph Car,Numbered Paragraph Car,Main numbered paragraph Car,Numbered List Paragraph Car"/>
    <w:basedOn w:val="Fuentedeprrafopredeter"/>
    <w:link w:val="Prrafodelista"/>
    <w:uiPriority w:val="34"/>
    <w:qFormat/>
    <w:locked/>
    <w:rsid w:val="00AB623D"/>
  </w:style>
  <w:style w:type="paragraph" w:styleId="Textoindependiente">
    <w:name w:val="Body Text"/>
    <w:basedOn w:val="Normal"/>
    <w:link w:val="TextoindependienteCar"/>
    <w:uiPriority w:val="99"/>
    <w:unhideWhenUsed/>
    <w:rsid w:val="007667A4"/>
    <w:pPr>
      <w:spacing w:after="120"/>
    </w:pPr>
  </w:style>
  <w:style w:type="character" w:customStyle="1" w:styleId="TextoindependienteCar">
    <w:name w:val="Texto independiente Car"/>
    <w:basedOn w:val="Fuentedeprrafopredeter"/>
    <w:link w:val="Textoindependiente"/>
    <w:uiPriority w:val="99"/>
    <w:rsid w:val="0076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37">
      <w:bodyDiv w:val="1"/>
      <w:marLeft w:val="0"/>
      <w:marRight w:val="0"/>
      <w:marTop w:val="0"/>
      <w:marBottom w:val="0"/>
      <w:divBdr>
        <w:top w:val="none" w:sz="0" w:space="0" w:color="auto"/>
        <w:left w:val="none" w:sz="0" w:space="0" w:color="auto"/>
        <w:bottom w:val="none" w:sz="0" w:space="0" w:color="auto"/>
        <w:right w:val="none" w:sz="0" w:space="0" w:color="auto"/>
      </w:divBdr>
    </w:div>
    <w:div w:id="26293125">
      <w:bodyDiv w:val="1"/>
      <w:marLeft w:val="0"/>
      <w:marRight w:val="0"/>
      <w:marTop w:val="0"/>
      <w:marBottom w:val="0"/>
      <w:divBdr>
        <w:top w:val="none" w:sz="0" w:space="0" w:color="auto"/>
        <w:left w:val="none" w:sz="0" w:space="0" w:color="auto"/>
        <w:bottom w:val="none" w:sz="0" w:space="0" w:color="auto"/>
        <w:right w:val="none" w:sz="0" w:space="0" w:color="auto"/>
      </w:divBdr>
    </w:div>
    <w:div w:id="29187848">
      <w:bodyDiv w:val="1"/>
      <w:marLeft w:val="0"/>
      <w:marRight w:val="0"/>
      <w:marTop w:val="0"/>
      <w:marBottom w:val="0"/>
      <w:divBdr>
        <w:top w:val="none" w:sz="0" w:space="0" w:color="auto"/>
        <w:left w:val="none" w:sz="0" w:space="0" w:color="auto"/>
        <w:bottom w:val="none" w:sz="0" w:space="0" w:color="auto"/>
        <w:right w:val="none" w:sz="0" w:space="0" w:color="auto"/>
      </w:divBdr>
    </w:div>
    <w:div w:id="60717624">
      <w:bodyDiv w:val="1"/>
      <w:marLeft w:val="0"/>
      <w:marRight w:val="0"/>
      <w:marTop w:val="0"/>
      <w:marBottom w:val="0"/>
      <w:divBdr>
        <w:top w:val="none" w:sz="0" w:space="0" w:color="auto"/>
        <w:left w:val="none" w:sz="0" w:space="0" w:color="auto"/>
        <w:bottom w:val="none" w:sz="0" w:space="0" w:color="auto"/>
        <w:right w:val="none" w:sz="0" w:space="0" w:color="auto"/>
      </w:divBdr>
      <w:divsChild>
        <w:div w:id="495804120">
          <w:marLeft w:val="547"/>
          <w:marRight w:val="0"/>
          <w:marTop w:val="0"/>
          <w:marBottom w:val="240"/>
          <w:divBdr>
            <w:top w:val="none" w:sz="0" w:space="0" w:color="auto"/>
            <w:left w:val="none" w:sz="0" w:space="0" w:color="auto"/>
            <w:bottom w:val="none" w:sz="0" w:space="0" w:color="auto"/>
            <w:right w:val="none" w:sz="0" w:space="0" w:color="auto"/>
          </w:divBdr>
        </w:div>
        <w:div w:id="1008749179">
          <w:marLeft w:val="547"/>
          <w:marRight w:val="0"/>
          <w:marTop w:val="0"/>
          <w:marBottom w:val="240"/>
          <w:divBdr>
            <w:top w:val="none" w:sz="0" w:space="0" w:color="auto"/>
            <w:left w:val="none" w:sz="0" w:space="0" w:color="auto"/>
            <w:bottom w:val="none" w:sz="0" w:space="0" w:color="auto"/>
            <w:right w:val="none" w:sz="0" w:space="0" w:color="auto"/>
          </w:divBdr>
        </w:div>
        <w:div w:id="286812494">
          <w:marLeft w:val="547"/>
          <w:marRight w:val="0"/>
          <w:marTop w:val="0"/>
          <w:marBottom w:val="240"/>
          <w:divBdr>
            <w:top w:val="none" w:sz="0" w:space="0" w:color="auto"/>
            <w:left w:val="none" w:sz="0" w:space="0" w:color="auto"/>
            <w:bottom w:val="none" w:sz="0" w:space="0" w:color="auto"/>
            <w:right w:val="none" w:sz="0" w:space="0" w:color="auto"/>
          </w:divBdr>
        </w:div>
      </w:divsChild>
    </w:div>
    <w:div w:id="139813348">
      <w:bodyDiv w:val="1"/>
      <w:marLeft w:val="0"/>
      <w:marRight w:val="0"/>
      <w:marTop w:val="0"/>
      <w:marBottom w:val="0"/>
      <w:divBdr>
        <w:top w:val="none" w:sz="0" w:space="0" w:color="auto"/>
        <w:left w:val="none" w:sz="0" w:space="0" w:color="auto"/>
        <w:bottom w:val="none" w:sz="0" w:space="0" w:color="auto"/>
        <w:right w:val="none" w:sz="0" w:space="0" w:color="auto"/>
      </w:divBdr>
    </w:div>
    <w:div w:id="189683431">
      <w:bodyDiv w:val="1"/>
      <w:marLeft w:val="0"/>
      <w:marRight w:val="0"/>
      <w:marTop w:val="0"/>
      <w:marBottom w:val="0"/>
      <w:divBdr>
        <w:top w:val="none" w:sz="0" w:space="0" w:color="auto"/>
        <w:left w:val="none" w:sz="0" w:space="0" w:color="auto"/>
        <w:bottom w:val="none" w:sz="0" w:space="0" w:color="auto"/>
        <w:right w:val="none" w:sz="0" w:space="0" w:color="auto"/>
      </w:divBdr>
    </w:div>
    <w:div w:id="234095893">
      <w:bodyDiv w:val="1"/>
      <w:marLeft w:val="0"/>
      <w:marRight w:val="0"/>
      <w:marTop w:val="0"/>
      <w:marBottom w:val="0"/>
      <w:divBdr>
        <w:top w:val="none" w:sz="0" w:space="0" w:color="auto"/>
        <w:left w:val="none" w:sz="0" w:space="0" w:color="auto"/>
        <w:bottom w:val="none" w:sz="0" w:space="0" w:color="auto"/>
        <w:right w:val="none" w:sz="0" w:space="0" w:color="auto"/>
      </w:divBdr>
    </w:div>
    <w:div w:id="282883494">
      <w:bodyDiv w:val="1"/>
      <w:marLeft w:val="0"/>
      <w:marRight w:val="0"/>
      <w:marTop w:val="0"/>
      <w:marBottom w:val="0"/>
      <w:divBdr>
        <w:top w:val="none" w:sz="0" w:space="0" w:color="auto"/>
        <w:left w:val="none" w:sz="0" w:space="0" w:color="auto"/>
        <w:bottom w:val="none" w:sz="0" w:space="0" w:color="auto"/>
        <w:right w:val="none" w:sz="0" w:space="0" w:color="auto"/>
      </w:divBdr>
      <w:divsChild>
        <w:div w:id="822964019">
          <w:marLeft w:val="547"/>
          <w:marRight w:val="0"/>
          <w:marTop w:val="160"/>
          <w:marBottom w:val="160"/>
          <w:divBdr>
            <w:top w:val="none" w:sz="0" w:space="0" w:color="auto"/>
            <w:left w:val="none" w:sz="0" w:space="0" w:color="auto"/>
            <w:bottom w:val="none" w:sz="0" w:space="0" w:color="auto"/>
            <w:right w:val="none" w:sz="0" w:space="0" w:color="auto"/>
          </w:divBdr>
        </w:div>
        <w:div w:id="25646487">
          <w:marLeft w:val="547"/>
          <w:marRight w:val="0"/>
          <w:marTop w:val="160"/>
          <w:marBottom w:val="160"/>
          <w:divBdr>
            <w:top w:val="none" w:sz="0" w:space="0" w:color="auto"/>
            <w:left w:val="none" w:sz="0" w:space="0" w:color="auto"/>
            <w:bottom w:val="none" w:sz="0" w:space="0" w:color="auto"/>
            <w:right w:val="none" w:sz="0" w:space="0" w:color="auto"/>
          </w:divBdr>
        </w:div>
        <w:div w:id="684744464">
          <w:marLeft w:val="547"/>
          <w:marRight w:val="0"/>
          <w:marTop w:val="160"/>
          <w:marBottom w:val="160"/>
          <w:divBdr>
            <w:top w:val="none" w:sz="0" w:space="0" w:color="auto"/>
            <w:left w:val="none" w:sz="0" w:space="0" w:color="auto"/>
            <w:bottom w:val="none" w:sz="0" w:space="0" w:color="auto"/>
            <w:right w:val="none" w:sz="0" w:space="0" w:color="auto"/>
          </w:divBdr>
        </w:div>
      </w:divsChild>
    </w:div>
    <w:div w:id="314535922">
      <w:bodyDiv w:val="1"/>
      <w:marLeft w:val="0"/>
      <w:marRight w:val="0"/>
      <w:marTop w:val="0"/>
      <w:marBottom w:val="0"/>
      <w:divBdr>
        <w:top w:val="none" w:sz="0" w:space="0" w:color="auto"/>
        <w:left w:val="none" w:sz="0" w:space="0" w:color="auto"/>
        <w:bottom w:val="none" w:sz="0" w:space="0" w:color="auto"/>
        <w:right w:val="none" w:sz="0" w:space="0" w:color="auto"/>
      </w:divBdr>
    </w:div>
    <w:div w:id="436295073">
      <w:bodyDiv w:val="1"/>
      <w:marLeft w:val="0"/>
      <w:marRight w:val="0"/>
      <w:marTop w:val="0"/>
      <w:marBottom w:val="0"/>
      <w:divBdr>
        <w:top w:val="none" w:sz="0" w:space="0" w:color="auto"/>
        <w:left w:val="none" w:sz="0" w:space="0" w:color="auto"/>
        <w:bottom w:val="none" w:sz="0" w:space="0" w:color="auto"/>
        <w:right w:val="none" w:sz="0" w:space="0" w:color="auto"/>
      </w:divBdr>
      <w:divsChild>
        <w:div w:id="30111802">
          <w:marLeft w:val="547"/>
          <w:marRight w:val="0"/>
          <w:marTop w:val="0"/>
          <w:marBottom w:val="0"/>
          <w:divBdr>
            <w:top w:val="none" w:sz="0" w:space="0" w:color="auto"/>
            <w:left w:val="none" w:sz="0" w:space="0" w:color="auto"/>
            <w:bottom w:val="none" w:sz="0" w:space="0" w:color="auto"/>
            <w:right w:val="none" w:sz="0" w:space="0" w:color="auto"/>
          </w:divBdr>
        </w:div>
        <w:div w:id="1891720412">
          <w:marLeft w:val="547"/>
          <w:marRight w:val="0"/>
          <w:marTop w:val="0"/>
          <w:marBottom w:val="0"/>
          <w:divBdr>
            <w:top w:val="none" w:sz="0" w:space="0" w:color="auto"/>
            <w:left w:val="none" w:sz="0" w:space="0" w:color="auto"/>
            <w:bottom w:val="none" w:sz="0" w:space="0" w:color="auto"/>
            <w:right w:val="none" w:sz="0" w:space="0" w:color="auto"/>
          </w:divBdr>
        </w:div>
        <w:div w:id="1007710490">
          <w:marLeft w:val="1166"/>
          <w:marRight w:val="0"/>
          <w:marTop w:val="0"/>
          <w:marBottom w:val="0"/>
          <w:divBdr>
            <w:top w:val="none" w:sz="0" w:space="0" w:color="auto"/>
            <w:left w:val="none" w:sz="0" w:space="0" w:color="auto"/>
            <w:bottom w:val="none" w:sz="0" w:space="0" w:color="auto"/>
            <w:right w:val="none" w:sz="0" w:space="0" w:color="auto"/>
          </w:divBdr>
        </w:div>
        <w:div w:id="1858424192">
          <w:marLeft w:val="1166"/>
          <w:marRight w:val="0"/>
          <w:marTop w:val="0"/>
          <w:marBottom w:val="0"/>
          <w:divBdr>
            <w:top w:val="none" w:sz="0" w:space="0" w:color="auto"/>
            <w:left w:val="none" w:sz="0" w:space="0" w:color="auto"/>
            <w:bottom w:val="none" w:sz="0" w:space="0" w:color="auto"/>
            <w:right w:val="none" w:sz="0" w:space="0" w:color="auto"/>
          </w:divBdr>
        </w:div>
        <w:div w:id="1932546257">
          <w:marLeft w:val="1166"/>
          <w:marRight w:val="0"/>
          <w:marTop w:val="0"/>
          <w:marBottom w:val="0"/>
          <w:divBdr>
            <w:top w:val="none" w:sz="0" w:space="0" w:color="auto"/>
            <w:left w:val="none" w:sz="0" w:space="0" w:color="auto"/>
            <w:bottom w:val="none" w:sz="0" w:space="0" w:color="auto"/>
            <w:right w:val="none" w:sz="0" w:space="0" w:color="auto"/>
          </w:divBdr>
        </w:div>
        <w:div w:id="1062363627">
          <w:marLeft w:val="1166"/>
          <w:marRight w:val="0"/>
          <w:marTop w:val="0"/>
          <w:marBottom w:val="0"/>
          <w:divBdr>
            <w:top w:val="none" w:sz="0" w:space="0" w:color="auto"/>
            <w:left w:val="none" w:sz="0" w:space="0" w:color="auto"/>
            <w:bottom w:val="none" w:sz="0" w:space="0" w:color="auto"/>
            <w:right w:val="none" w:sz="0" w:space="0" w:color="auto"/>
          </w:divBdr>
        </w:div>
      </w:divsChild>
    </w:div>
    <w:div w:id="447242195">
      <w:bodyDiv w:val="1"/>
      <w:marLeft w:val="0"/>
      <w:marRight w:val="0"/>
      <w:marTop w:val="0"/>
      <w:marBottom w:val="0"/>
      <w:divBdr>
        <w:top w:val="none" w:sz="0" w:space="0" w:color="auto"/>
        <w:left w:val="none" w:sz="0" w:space="0" w:color="auto"/>
        <w:bottom w:val="none" w:sz="0" w:space="0" w:color="auto"/>
        <w:right w:val="none" w:sz="0" w:space="0" w:color="auto"/>
      </w:divBdr>
    </w:div>
    <w:div w:id="533427413">
      <w:bodyDiv w:val="1"/>
      <w:marLeft w:val="0"/>
      <w:marRight w:val="0"/>
      <w:marTop w:val="0"/>
      <w:marBottom w:val="0"/>
      <w:divBdr>
        <w:top w:val="none" w:sz="0" w:space="0" w:color="auto"/>
        <w:left w:val="none" w:sz="0" w:space="0" w:color="auto"/>
        <w:bottom w:val="none" w:sz="0" w:space="0" w:color="auto"/>
        <w:right w:val="none" w:sz="0" w:space="0" w:color="auto"/>
      </w:divBdr>
    </w:div>
    <w:div w:id="596520248">
      <w:bodyDiv w:val="1"/>
      <w:marLeft w:val="0"/>
      <w:marRight w:val="0"/>
      <w:marTop w:val="0"/>
      <w:marBottom w:val="0"/>
      <w:divBdr>
        <w:top w:val="none" w:sz="0" w:space="0" w:color="auto"/>
        <w:left w:val="none" w:sz="0" w:space="0" w:color="auto"/>
        <w:bottom w:val="none" w:sz="0" w:space="0" w:color="auto"/>
        <w:right w:val="none" w:sz="0" w:space="0" w:color="auto"/>
      </w:divBdr>
    </w:div>
    <w:div w:id="808088201">
      <w:bodyDiv w:val="1"/>
      <w:marLeft w:val="0"/>
      <w:marRight w:val="0"/>
      <w:marTop w:val="0"/>
      <w:marBottom w:val="0"/>
      <w:divBdr>
        <w:top w:val="none" w:sz="0" w:space="0" w:color="auto"/>
        <w:left w:val="none" w:sz="0" w:space="0" w:color="auto"/>
        <w:bottom w:val="none" w:sz="0" w:space="0" w:color="auto"/>
        <w:right w:val="none" w:sz="0" w:space="0" w:color="auto"/>
      </w:divBdr>
    </w:div>
    <w:div w:id="941037218">
      <w:bodyDiv w:val="1"/>
      <w:marLeft w:val="0"/>
      <w:marRight w:val="0"/>
      <w:marTop w:val="0"/>
      <w:marBottom w:val="0"/>
      <w:divBdr>
        <w:top w:val="none" w:sz="0" w:space="0" w:color="auto"/>
        <w:left w:val="none" w:sz="0" w:space="0" w:color="auto"/>
        <w:bottom w:val="none" w:sz="0" w:space="0" w:color="auto"/>
        <w:right w:val="none" w:sz="0" w:space="0" w:color="auto"/>
      </w:divBdr>
    </w:div>
    <w:div w:id="1034886520">
      <w:bodyDiv w:val="1"/>
      <w:marLeft w:val="0"/>
      <w:marRight w:val="0"/>
      <w:marTop w:val="0"/>
      <w:marBottom w:val="0"/>
      <w:divBdr>
        <w:top w:val="none" w:sz="0" w:space="0" w:color="auto"/>
        <w:left w:val="none" w:sz="0" w:space="0" w:color="auto"/>
        <w:bottom w:val="none" w:sz="0" w:space="0" w:color="auto"/>
        <w:right w:val="none" w:sz="0" w:space="0" w:color="auto"/>
      </w:divBdr>
    </w:div>
    <w:div w:id="1153302937">
      <w:bodyDiv w:val="1"/>
      <w:marLeft w:val="0"/>
      <w:marRight w:val="0"/>
      <w:marTop w:val="0"/>
      <w:marBottom w:val="0"/>
      <w:divBdr>
        <w:top w:val="none" w:sz="0" w:space="0" w:color="auto"/>
        <w:left w:val="none" w:sz="0" w:space="0" w:color="auto"/>
        <w:bottom w:val="none" w:sz="0" w:space="0" w:color="auto"/>
        <w:right w:val="none" w:sz="0" w:space="0" w:color="auto"/>
      </w:divBdr>
    </w:div>
    <w:div w:id="1160001203">
      <w:bodyDiv w:val="1"/>
      <w:marLeft w:val="0"/>
      <w:marRight w:val="0"/>
      <w:marTop w:val="0"/>
      <w:marBottom w:val="0"/>
      <w:divBdr>
        <w:top w:val="none" w:sz="0" w:space="0" w:color="auto"/>
        <w:left w:val="none" w:sz="0" w:space="0" w:color="auto"/>
        <w:bottom w:val="none" w:sz="0" w:space="0" w:color="auto"/>
        <w:right w:val="none" w:sz="0" w:space="0" w:color="auto"/>
      </w:divBdr>
    </w:div>
    <w:div w:id="1225293577">
      <w:bodyDiv w:val="1"/>
      <w:marLeft w:val="0"/>
      <w:marRight w:val="0"/>
      <w:marTop w:val="0"/>
      <w:marBottom w:val="0"/>
      <w:divBdr>
        <w:top w:val="none" w:sz="0" w:space="0" w:color="auto"/>
        <w:left w:val="none" w:sz="0" w:space="0" w:color="auto"/>
        <w:bottom w:val="none" w:sz="0" w:space="0" w:color="auto"/>
        <w:right w:val="none" w:sz="0" w:space="0" w:color="auto"/>
      </w:divBdr>
    </w:div>
    <w:div w:id="1293050406">
      <w:bodyDiv w:val="1"/>
      <w:marLeft w:val="0"/>
      <w:marRight w:val="0"/>
      <w:marTop w:val="0"/>
      <w:marBottom w:val="0"/>
      <w:divBdr>
        <w:top w:val="none" w:sz="0" w:space="0" w:color="auto"/>
        <w:left w:val="none" w:sz="0" w:space="0" w:color="auto"/>
        <w:bottom w:val="none" w:sz="0" w:space="0" w:color="auto"/>
        <w:right w:val="none" w:sz="0" w:space="0" w:color="auto"/>
      </w:divBdr>
    </w:div>
    <w:div w:id="1343388483">
      <w:bodyDiv w:val="1"/>
      <w:marLeft w:val="0"/>
      <w:marRight w:val="0"/>
      <w:marTop w:val="0"/>
      <w:marBottom w:val="0"/>
      <w:divBdr>
        <w:top w:val="none" w:sz="0" w:space="0" w:color="auto"/>
        <w:left w:val="none" w:sz="0" w:space="0" w:color="auto"/>
        <w:bottom w:val="none" w:sz="0" w:space="0" w:color="auto"/>
        <w:right w:val="none" w:sz="0" w:space="0" w:color="auto"/>
      </w:divBdr>
    </w:div>
    <w:div w:id="1413550577">
      <w:bodyDiv w:val="1"/>
      <w:marLeft w:val="0"/>
      <w:marRight w:val="0"/>
      <w:marTop w:val="0"/>
      <w:marBottom w:val="0"/>
      <w:divBdr>
        <w:top w:val="none" w:sz="0" w:space="0" w:color="auto"/>
        <w:left w:val="none" w:sz="0" w:space="0" w:color="auto"/>
        <w:bottom w:val="none" w:sz="0" w:space="0" w:color="auto"/>
        <w:right w:val="none" w:sz="0" w:space="0" w:color="auto"/>
      </w:divBdr>
      <w:divsChild>
        <w:div w:id="1949507088">
          <w:marLeft w:val="720"/>
          <w:marRight w:val="0"/>
          <w:marTop w:val="200"/>
          <w:marBottom w:val="240"/>
          <w:divBdr>
            <w:top w:val="none" w:sz="0" w:space="0" w:color="auto"/>
            <w:left w:val="none" w:sz="0" w:space="0" w:color="auto"/>
            <w:bottom w:val="none" w:sz="0" w:space="0" w:color="auto"/>
            <w:right w:val="none" w:sz="0" w:space="0" w:color="auto"/>
          </w:divBdr>
        </w:div>
        <w:div w:id="696538830">
          <w:marLeft w:val="720"/>
          <w:marRight w:val="0"/>
          <w:marTop w:val="200"/>
          <w:marBottom w:val="240"/>
          <w:divBdr>
            <w:top w:val="none" w:sz="0" w:space="0" w:color="auto"/>
            <w:left w:val="none" w:sz="0" w:space="0" w:color="auto"/>
            <w:bottom w:val="none" w:sz="0" w:space="0" w:color="auto"/>
            <w:right w:val="none" w:sz="0" w:space="0" w:color="auto"/>
          </w:divBdr>
        </w:div>
        <w:div w:id="1682394765">
          <w:marLeft w:val="720"/>
          <w:marRight w:val="0"/>
          <w:marTop w:val="200"/>
          <w:marBottom w:val="240"/>
          <w:divBdr>
            <w:top w:val="none" w:sz="0" w:space="0" w:color="auto"/>
            <w:left w:val="none" w:sz="0" w:space="0" w:color="auto"/>
            <w:bottom w:val="none" w:sz="0" w:space="0" w:color="auto"/>
            <w:right w:val="none" w:sz="0" w:space="0" w:color="auto"/>
          </w:divBdr>
        </w:div>
        <w:div w:id="755592809">
          <w:marLeft w:val="720"/>
          <w:marRight w:val="0"/>
          <w:marTop w:val="200"/>
          <w:marBottom w:val="240"/>
          <w:divBdr>
            <w:top w:val="none" w:sz="0" w:space="0" w:color="auto"/>
            <w:left w:val="none" w:sz="0" w:space="0" w:color="auto"/>
            <w:bottom w:val="none" w:sz="0" w:space="0" w:color="auto"/>
            <w:right w:val="none" w:sz="0" w:space="0" w:color="auto"/>
          </w:divBdr>
        </w:div>
      </w:divsChild>
    </w:div>
    <w:div w:id="1441338604">
      <w:bodyDiv w:val="1"/>
      <w:marLeft w:val="0"/>
      <w:marRight w:val="0"/>
      <w:marTop w:val="0"/>
      <w:marBottom w:val="0"/>
      <w:divBdr>
        <w:top w:val="none" w:sz="0" w:space="0" w:color="auto"/>
        <w:left w:val="none" w:sz="0" w:space="0" w:color="auto"/>
        <w:bottom w:val="none" w:sz="0" w:space="0" w:color="auto"/>
        <w:right w:val="none" w:sz="0" w:space="0" w:color="auto"/>
      </w:divBdr>
    </w:div>
    <w:div w:id="1484811364">
      <w:bodyDiv w:val="1"/>
      <w:marLeft w:val="0"/>
      <w:marRight w:val="0"/>
      <w:marTop w:val="0"/>
      <w:marBottom w:val="0"/>
      <w:divBdr>
        <w:top w:val="none" w:sz="0" w:space="0" w:color="auto"/>
        <w:left w:val="none" w:sz="0" w:space="0" w:color="auto"/>
        <w:bottom w:val="none" w:sz="0" w:space="0" w:color="auto"/>
        <w:right w:val="none" w:sz="0" w:space="0" w:color="auto"/>
      </w:divBdr>
    </w:div>
    <w:div w:id="1575241498">
      <w:bodyDiv w:val="1"/>
      <w:marLeft w:val="0"/>
      <w:marRight w:val="0"/>
      <w:marTop w:val="0"/>
      <w:marBottom w:val="0"/>
      <w:divBdr>
        <w:top w:val="none" w:sz="0" w:space="0" w:color="auto"/>
        <w:left w:val="none" w:sz="0" w:space="0" w:color="auto"/>
        <w:bottom w:val="none" w:sz="0" w:space="0" w:color="auto"/>
        <w:right w:val="none" w:sz="0" w:space="0" w:color="auto"/>
      </w:divBdr>
    </w:div>
    <w:div w:id="1579318659">
      <w:bodyDiv w:val="1"/>
      <w:marLeft w:val="0"/>
      <w:marRight w:val="0"/>
      <w:marTop w:val="0"/>
      <w:marBottom w:val="0"/>
      <w:divBdr>
        <w:top w:val="none" w:sz="0" w:space="0" w:color="auto"/>
        <w:left w:val="none" w:sz="0" w:space="0" w:color="auto"/>
        <w:bottom w:val="none" w:sz="0" w:space="0" w:color="auto"/>
        <w:right w:val="none" w:sz="0" w:space="0" w:color="auto"/>
      </w:divBdr>
    </w:div>
    <w:div w:id="1606185151">
      <w:bodyDiv w:val="1"/>
      <w:marLeft w:val="0"/>
      <w:marRight w:val="0"/>
      <w:marTop w:val="0"/>
      <w:marBottom w:val="0"/>
      <w:divBdr>
        <w:top w:val="none" w:sz="0" w:space="0" w:color="auto"/>
        <w:left w:val="none" w:sz="0" w:space="0" w:color="auto"/>
        <w:bottom w:val="none" w:sz="0" w:space="0" w:color="auto"/>
        <w:right w:val="none" w:sz="0" w:space="0" w:color="auto"/>
      </w:divBdr>
    </w:div>
    <w:div w:id="1670258026">
      <w:bodyDiv w:val="1"/>
      <w:marLeft w:val="0"/>
      <w:marRight w:val="0"/>
      <w:marTop w:val="0"/>
      <w:marBottom w:val="0"/>
      <w:divBdr>
        <w:top w:val="none" w:sz="0" w:space="0" w:color="auto"/>
        <w:left w:val="none" w:sz="0" w:space="0" w:color="auto"/>
        <w:bottom w:val="none" w:sz="0" w:space="0" w:color="auto"/>
        <w:right w:val="none" w:sz="0" w:space="0" w:color="auto"/>
      </w:divBdr>
    </w:div>
    <w:div w:id="1672834091">
      <w:bodyDiv w:val="1"/>
      <w:marLeft w:val="0"/>
      <w:marRight w:val="0"/>
      <w:marTop w:val="0"/>
      <w:marBottom w:val="0"/>
      <w:divBdr>
        <w:top w:val="none" w:sz="0" w:space="0" w:color="auto"/>
        <w:left w:val="none" w:sz="0" w:space="0" w:color="auto"/>
        <w:bottom w:val="none" w:sz="0" w:space="0" w:color="auto"/>
        <w:right w:val="none" w:sz="0" w:space="0" w:color="auto"/>
      </w:divBdr>
    </w:div>
    <w:div w:id="1677422161">
      <w:bodyDiv w:val="1"/>
      <w:marLeft w:val="0"/>
      <w:marRight w:val="0"/>
      <w:marTop w:val="0"/>
      <w:marBottom w:val="0"/>
      <w:divBdr>
        <w:top w:val="none" w:sz="0" w:space="0" w:color="auto"/>
        <w:left w:val="none" w:sz="0" w:space="0" w:color="auto"/>
        <w:bottom w:val="none" w:sz="0" w:space="0" w:color="auto"/>
        <w:right w:val="none" w:sz="0" w:space="0" w:color="auto"/>
      </w:divBdr>
    </w:div>
    <w:div w:id="1679506315">
      <w:bodyDiv w:val="1"/>
      <w:marLeft w:val="0"/>
      <w:marRight w:val="0"/>
      <w:marTop w:val="0"/>
      <w:marBottom w:val="0"/>
      <w:divBdr>
        <w:top w:val="none" w:sz="0" w:space="0" w:color="auto"/>
        <w:left w:val="none" w:sz="0" w:space="0" w:color="auto"/>
        <w:bottom w:val="none" w:sz="0" w:space="0" w:color="auto"/>
        <w:right w:val="none" w:sz="0" w:space="0" w:color="auto"/>
      </w:divBdr>
    </w:div>
    <w:div w:id="1718240987">
      <w:bodyDiv w:val="1"/>
      <w:marLeft w:val="0"/>
      <w:marRight w:val="0"/>
      <w:marTop w:val="0"/>
      <w:marBottom w:val="0"/>
      <w:divBdr>
        <w:top w:val="none" w:sz="0" w:space="0" w:color="auto"/>
        <w:left w:val="none" w:sz="0" w:space="0" w:color="auto"/>
        <w:bottom w:val="none" w:sz="0" w:space="0" w:color="auto"/>
        <w:right w:val="none" w:sz="0" w:space="0" w:color="auto"/>
      </w:divBdr>
      <w:divsChild>
        <w:div w:id="1306660113">
          <w:marLeft w:val="432"/>
          <w:marRight w:val="0"/>
          <w:marTop w:val="130"/>
          <w:marBottom w:val="0"/>
          <w:divBdr>
            <w:top w:val="none" w:sz="0" w:space="0" w:color="auto"/>
            <w:left w:val="none" w:sz="0" w:space="0" w:color="auto"/>
            <w:bottom w:val="none" w:sz="0" w:space="0" w:color="auto"/>
            <w:right w:val="none" w:sz="0" w:space="0" w:color="auto"/>
          </w:divBdr>
        </w:div>
        <w:div w:id="792797092">
          <w:marLeft w:val="706"/>
          <w:marRight w:val="0"/>
          <w:marTop w:val="101"/>
          <w:marBottom w:val="0"/>
          <w:divBdr>
            <w:top w:val="none" w:sz="0" w:space="0" w:color="auto"/>
            <w:left w:val="none" w:sz="0" w:space="0" w:color="auto"/>
            <w:bottom w:val="none" w:sz="0" w:space="0" w:color="auto"/>
            <w:right w:val="none" w:sz="0" w:space="0" w:color="auto"/>
          </w:divBdr>
        </w:div>
        <w:div w:id="1580939123">
          <w:marLeft w:val="432"/>
          <w:marRight w:val="0"/>
          <w:marTop w:val="130"/>
          <w:marBottom w:val="0"/>
          <w:divBdr>
            <w:top w:val="none" w:sz="0" w:space="0" w:color="auto"/>
            <w:left w:val="none" w:sz="0" w:space="0" w:color="auto"/>
            <w:bottom w:val="none" w:sz="0" w:space="0" w:color="auto"/>
            <w:right w:val="none" w:sz="0" w:space="0" w:color="auto"/>
          </w:divBdr>
        </w:div>
        <w:div w:id="1975216434">
          <w:marLeft w:val="706"/>
          <w:marRight w:val="0"/>
          <w:marTop w:val="101"/>
          <w:marBottom w:val="0"/>
          <w:divBdr>
            <w:top w:val="none" w:sz="0" w:space="0" w:color="auto"/>
            <w:left w:val="none" w:sz="0" w:space="0" w:color="auto"/>
            <w:bottom w:val="none" w:sz="0" w:space="0" w:color="auto"/>
            <w:right w:val="none" w:sz="0" w:space="0" w:color="auto"/>
          </w:divBdr>
        </w:div>
        <w:div w:id="1107890527">
          <w:marLeft w:val="432"/>
          <w:marRight w:val="0"/>
          <w:marTop w:val="130"/>
          <w:marBottom w:val="0"/>
          <w:divBdr>
            <w:top w:val="none" w:sz="0" w:space="0" w:color="auto"/>
            <w:left w:val="none" w:sz="0" w:space="0" w:color="auto"/>
            <w:bottom w:val="none" w:sz="0" w:space="0" w:color="auto"/>
            <w:right w:val="none" w:sz="0" w:space="0" w:color="auto"/>
          </w:divBdr>
        </w:div>
        <w:div w:id="1587036537">
          <w:marLeft w:val="706"/>
          <w:marRight w:val="0"/>
          <w:marTop w:val="101"/>
          <w:marBottom w:val="0"/>
          <w:divBdr>
            <w:top w:val="none" w:sz="0" w:space="0" w:color="auto"/>
            <w:left w:val="none" w:sz="0" w:space="0" w:color="auto"/>
            <w:bottom w:val="none" w:sz="0" w:space="0" w:color="auto"/>
            <w:right w:val="none" w:sz="0" w:space="0" w:color="auto"/>
          </w:divBdr>
        </w:div>
        <w:div w:id="1500002190">
          <w:marLeft w:val="432"/>
          <w:marRight w:val="0"/>
          <w:marTop w:val="130"/>
          <w:marBottom w:val="0"/>
          <w:divBdr>
            <w:top w:val="none" w:sz="0" w:space="0" w:color="auto"/>
            <w:left w:val="none" w:sz="0" w:space="0" w:color="auto"/>
            <w:bottom w:val="none" w:sz="0" w:space="0" w:color="auto"/>
            <w:right w:val="none" w:sz="0" w:space="0" w:color="auto"/>
          </w:divBdr>
        </w:div>
        <w:div w:id="515849515">
          <w:marLeft w:val="706"/>
          <w:marRight w:val="0"/>
          <w:marTop w:val="101"/>
          <w:marBottom w:val="0"/>
          <w:divBdr>
            <w:top w:val="none" w:sz="0" w:space="0" w:color="auto"/>
            <w:left w:val="none" w:sz="0" w:space="0" w:color="auto"/>
            <w:bottom w:val="none" w:sz="0" w:space="0" w:color="auto"/>
            <w:right w:val="none" w:sz="0" w:space="0" w:color="auto"/>
          </w:divBdr>
        </w:div>
        <w:div w:id="1441222596">
          <w:marLeft w:val="432"/>
          <w:marRight w:val="0"/>
          <w:marTop w:val="130"/>
          <w:marBottom w:val="0"/>
          <w:divBdr>
            <w:top w:val="none" w:sz="0" w:space="0" w:color="auto"/>
            <w:left w:val="none" w:sz="0" w:space="0" w:color="auto"/>
            <w:bottom w:val="none" w:sz="0" w:space="0" w:color="auto"/>
            <w:right w:val="none" w:sz="0" w:space="0" w:color="auto"/>
          </w:divBdr>
        </w:div>
        <w:div w:id="1559972526">
          <w:marLeft w:val="706"/>
          <w:marRight w:val="0"/>
          <w:marTop w:val="101"/>
          <w:marBottom w:val="0"/>
          <w:divBdr>
            <w:top w:val="none" w:sz="0" w:space="0" w:color="auto"/>
            <w:left w:val="none" w:sz="0" w:space="0" w:color="auto"/>
            <w:bottom w:val="none" w:sz="0" w:space="0" w:color="auto"/>
            <w:right w:val="none" w:sz="0" w:space="0" w:color="auto"/>
          </w:divBdr>
        </w:div>
        <w:div w:id="847909161">
          <w:marLeft w:val="432"/>
          <w:marRight w:val="0"/>
          <w:marTop w:val="130"/>
          <w:marBottom w:val="0"/>
          <w:divBdr>
            <w:top w:val="none" w:sz="0" w:space="0" w:color="auto"/>
            <w:left w:val="none" w:sz="0" w:space="0" w:color="auto"/>
            <w:bottom w:val="none" w:sz="0" w:space="0" w:color="auto"/>
            <w:right w:val="none" w:sz="0" w:space="0" w:color="auto"/>
          </w:divBdr>
        </w:div>
        <w:div w:id="1628242235">
          <w:marLeft w:val="706"/>
          <w:marRight w:val="0"/>
          <w:marTop w:val="101"/>
          <w:marBottom w:val="0"/>
          <w:divBdr>
            <w:top w:val="none" w:sz="0" w:space="0" w:color="auto"/>
            <w:left w:val="none" w:sz="0" w:space="0" w:color="auto"/>
            <w:bottom w:val="none" w:sz="0" w:space="0" w:color="auto"/>
            <w:right w:val="none" w:sz="0" w:space="0" w:color="auto"/>
          </w:divBdr>
        </w:div>
        <w:div w:id="645596553">
          <w:marLeft w:val="432"/>
          <w:marRight w:val="0"/>
          <w:marTop w:val="130"/>
          <w:marBottom w:val="0"/>
          <w:divBdr>
            <w:top w:val="none" w:sz="0" w:space="0" w:color="auto"/>
            <w:left w:val="none" w:sz="0" w:space="0" w:color="auto"/>
            <w:bottom w:val="none" w:sz="0" w:space="0" w:color="auto"/>
            <w:right w:val="none" w:sz="0" w:space="0" w:color="auto"/>
          </w:divBdr>
        </w:div>
      </w:divsChild>
    </w:div>
    <w:div w:id="2069065223">
      <w:bodyDiv w:val="1"/>
      <w:marLeft w:val="0"/>
      <w:marRight w:val="0"/>
      <w:marTop w:val="0"/>
      <w:marBottom w:val="0"/>
      <w:divBdr>
        <w:top w:val="none" w:sz="0" w:space="0" w:color="auto"/>
        <w:left w:val="none" w:sz="0" w:space="0" w:color="auto"/>
        <w:bottom w:val="none" w:sz="0" w:space="0" w:color="auto"/>
        <w:right w:val="none" w:sz="0" w:space="0" w:color="auto"/>
      </w:divBdr>
      <w:divsChild>
        <w:div w:id="63113508">
          <w:marLeft w:val="547"/>
          <w:marRight w:val="0"/>
          <w:marTop w:val="0"/>
          <w:marBottom w:val="240"/>
          <w:divBdr>
            <w:top w:val="none" w:sz="0" w:space="0" w:color="auto"/>
            <w:left w:val="none" w:sz="0" w:space="0" w:color="auto"/>
            <w:bottom w:val="none" w:sz="0" w:space="0" w:color="auto"/>
            <w:right w:val="none" w:sz="0" w:space="0" w:color="auto"/>
          </w:divBdr>
        </w:div>
        <w:div w:id="510687488">
          <w:marLeft w:val="1166"/>
          <w:marRight w:val="0"/>
          <w:marTop w:val="0"/>
          <w:marBottom w:val="240"/>
          <w:divBdr>
            <w:top w:val="none" w:sz="0" w:space="0" w:color="auto"/>
            <w:left w:val="none" w:sz="0" w:space="0" w:color="auto"/>
            <w:bottom w:val="none" w:sz="0" w:space="0" w:color="auto"/>
            <w:right w:val="none" w:sz="0" w:space="0" w:color="auto"/>
          </w:divBdr>
        </w:div>
        <w:div w:id="1684437368">
          <w:marLeft w:val="1166"/>
          <w:marRight w:val="0"/>
          <w:marTop w:val="0"/>
          <w:marBottom w:val="240"/>
          <w:divBdr>
            <w:top w:val="none" w:sz="0" w:space="0" w:color="auto"/>
            <w:left w:val="none" w:sz="0" w:space="0" w:color="auto"/>
            <w:bottom w:val="none" w:sz="0" w:space="0" w:color="auto"/>
            <w:right w:val="none" w:sz="0" w:space="0" w:color="auto"/>
          </w:divBdr>
        </w:div>
        <w:div w:id="254830558">
          <w:marLeft w:val="1166"/>
          <w:marRight w:val="0"/>
          <w:marTop w:val="0"/>
          <w:marBottom w:val="240"/>
          <w:divBdr>
            <w:top w:val="none" w:sz="0" w:space="0" w:color="auto"/>
            <w:left w:val="none" w:sz="0" w:space="0" w:color="auto"/>
            <w:bottom w:val="none" w:sz="0" w:space="0" w:color="auto"/>
            <w:right w:val="none" w:sz="0" w:space="0" w:color="auto"/>
          </w:divBdr>
        </w:div>
        <w:div w:id="441388632">
          <w:marLeft w:val="1166"/>
          <w:marRight w:val="0"/>
          <w:marTop w:val="0"/>
          <w:marBottom w:val="240"/>
          <w:divBdr>
            <w:top w:val="none" w:sz="0" w:space="0" w:color="auto"/>
            <w:left w:val="none" w:sz="0" w:space="0" w:color="auto"/>
            <w:bottom w:val="none" w:sz="0" w:space="0" w:color="auto"/>
            <w:right w:val="none" w:sz="0" w:space="0" w:color="auto"/>
          </w:divBdr>
        </w:div>
        <w:div w:id="2035575218">
          <w:marLeft w:val="1166"/>
          <w:marRight w:val="0"/>
          <w:marTop w:val="0"/>
          <w:marBottom w:val="240"/>
          <w:divBdr>
            <w:top w:val="none" w:sz="0" w:space="0" w:color="auto"/>
            <w:left w:val="none" w:sz="0" w:space="0" w:color="auto"/>
            <w:bottom w:val="none" w:sz="0" w:space="0" w:color="auto"/>
            <w:right w:val="none" w:sz="0" w:space="0" w:color="auto"/>
          </w:divBdr>
        </w:div>
        <w:div w:id="905649504">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mla.org/forodepago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rldbank.org/en/topic/paymentsystemsremittances" TargetMode="External"/><Relationship Id="rId4" Type="http://schemas.openxmlformats.org/officeDocument/2006/relationships/settings" Target="settings.xml"/><Relationship Id="rId9" Type="http://schemas.openxmlformats.org/officeDocument/2006/relationships/hyperlink" Target="https://www.bis.org/cpmi/about/overview.htm?m=3%7C16%7C69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8160D-E46F-42C5-8963-48390D1B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3326</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cemla 2016</dc:creator>
  <cp:keywords/>
  <dc:description/>
  <cp:lastModifiedBy>Raúl Moises Morales Resendiz</cp:lastModifiedBy>
  <cp:revision>42</cp:revision>
  <cp:lastPrinted>2019-05-14T19:35:00Z</cp:lastPrinted>
  <dcterms:created xsi:type="dcterms:W3CDTF">2020-01-20T21:56:00Z</dcterms:created>
  <dcterms:modified xsi:type="dcterms:W3CDTF">2020-02-04T17:14:00Z</dcterms:modified>
</cp:coreProperties>
</file>